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4"/>
        </w:rPr>
        <w:t>Design Token &amp; Theme Validation Engine</w:t>
      </w:r>
    </w:p>
    <w:p>
      <w:pPr>
        <w:jc w:val="center"/>
      </w:pPr>
      <w:r>
        <w:rPr>
          <w:i/>
          <w:sz w:val="24"/>
        </w:rPr>
        <w:t>Complete Technical Validation Process for User-Customized Websites</w:t>
      </w:r>
    </w:p>
    <w:p>
      <w:pPr>
        <w:jc w:val="center"/>
      </w:pPr>
      <w:r>
        <w:rPr>
          <w:b/>
        </w:rPr>
        <w:t>SportsPlus / New Widget Website Customization Project</w:t>
      </w:r>
    </w:p>
    <w:p/>
    <w:p>
      <w:pPr>
        <w:pStyle w:val="Heading1"/>
      </w:pPr>
      <w:r>
        <w:t>1. Executive Summary</w:t>
      </w:r>
    </w:p>
    <w:p>
      <w:r>
        <w:t>The website customization feature should not treat Primary, Secondary, and Neutral colors as three independent values. Instead, the platform should implement a reusable Design Token &amp; Theme Validation Engine. The user supplies three base colors; the engine validates the inputs, generates tonal palettes, maps those palettes to semantic design tokens, validates the resulting tokens against component and accessibility rules, previews the theme, and only then permits the theme to be saved.</w:t>
      </w:r>
    </w:p>
    <w:p>
      <w:r>
        <w:t>The recommended architecture uses TypeScript/React on the client for immediate feedback and Java on the server for authoritative validation. The validation rules should be configuration-driven so that new widgets and components can be added without rewriting the validation engine.</w:t>
      </w:r>
    </w:p>
    <w:p>
      <w:pPr>
        <w:pStyle w:val="Heading1"/>
      </w:pPr>
      <w:r>
        <w:t>2. Goals</w:t>
      </w:r>
    </w:p>
    <w:p>
      <w:pPr>
        <w:pStyle w:val="ListBullet"/>
        <w:spacing w:after="40"/>
      </w:pPr>
      <w:r>
        <w:t>Prevent duplicate or unusably similar Primary, Secondary, and Neutral colors.</w:t>
      </w:r>
    </w:p>
    <w:p>
      <w:pPr>
        <w:pStyle w:val="ListBullet"/>
        <w:spacing w:after="40"/>
      </w:pPr>
      <w:r>
        <w:t>Generate consistent 50–900 color scales from user-selected base colors.</w:t>
      </w:r>
    </w:p>
    <w:p>
      <w:pPr>
        <w:pStyle w:val="ListBullet"/>
        <w:spacing w:after="40"/>
      </w:pPr>
      <w:r>
        <w:t>Generate semantic design tokens from primitive color tokens.</w:t>
      </w:r>
    </w:p>
    <w:p>
      <w:pPr>
        <w:pStyle w:val="ListBullet"/>
        <w:spacing w:after="40"/>
      </w:pPr>
      <w:r>
        <w:t>Validate every token against the UI roles in which it will be used.</w:t>
      </w:r>
    </w:p>
    <w:p>
      <w:pPr>
        <w:pStyle w:val="ListBullet"/>
        <w:spacing w:after="40"/>
      </w:pPr>
      <w:r>
        <w:t>Validate WCAG 2.2 AA contrast requirements for text and applicable UI elements.</w:t>
      </w:r>
    </w:p>
    <w:p>
      <w:pPr>
        <w:pStyle w:val="ListBullet"/>
        <w:spacing w:after="40"/>
      </w:pPr>
      <w:r>
        <w:t>Validate hover, active, focus, disabled, border, link, form, table, card, and navigation states.</w:t>
      </w:r>
    </w:p>
    <w:p>
      <w:pPr>
        <w:pStyle w:val="ListBullet"/>
        <w:spacing w:after="40"/>
      </w:pPr>
      <w:r>
        <w:t>Provide real-time validation in the theme editor.</w:t>
      </w:r>
    </w:p>
    <w:p>
      <w:pPr>
        <w:pStyle w:val="ListBullet"/>
        <w:spacing w:after="40"/>
      </w:pPr>
      <w:r>
        <w:t>Prevent invalid themes from being persisted through direct API calls.</w:t>
      </w:r>
    </w:p>
    <w:p>
      <w:pPr>
        <w:pStyle w:val="ListBullet"/>
        <w:spacing w:after="40"/>
      </w:pPr>
      <w:r>
        <w:t>Provide actionable error messages and, where possible, automatic alternative suggestions.</w:t>
      </w:r>
    </w:p>
    <w:p>
      <w:pPr>
        <w:pStyle w:val="ListBullet"/>
        <w:spacing w:after="40"/>
      </w:pPr>
      <w:r>
        <w:t>Make the engine reusable across the website builder and future widgets.</w:t>
      </w:r>
    </w:p>
    <w:p>
      <w:pPr>
        <w:pStyle w:val="Heading1"/>
      </w:pPr>
      <w:r>
        <w:t>3. Non-Goals</w:t>
      </w:r>
    </w:p>
    <w:p>
      <w:pPr>
        <w:pStyle w:val="ListBullet"/>
        <w:spacing w:after="40"/>
      </w:pPr>
      <w:r>
        <w:t>Do not attempt to determine whether a color is aesthetically perfect using a single mathematical formula.</w:t>
      </w:r>
    </w:p>
    <w:p>
      <w:pPr>
        <w:pStyle w:val="ListBullet"/>
        <w:spacing w:after="40"/>
      </w:pPr>
      <w:r>
        <w:t>Do not use RGB distance alone to determine whether two colors are visually distinct.</w:t>
      </w:r>
    </w:p>
    <w:p>
      <w:pPr>
        <w:pStyle w:val="ListBullet"/>
        <w:spacing w:after="40"/>
      </w:pPr>
      <w:r>
        <w:t>Do not rely only on frontend validation.</w:t>
      </w:r>
    </w:p>
    <w:p>
      <w:pPr>
        <w:pStyle w:val="ListBullet"/>
        <w:spacing w:after="40"/>
      </w:pPr>
      <w:r>
        <w:t>Do not hard-code validation rules inside individual React components.</w:t>
      </w:r>
    </w:p>
    <w:p>
      <w:pPr>
        <w:pStyle w:val="ListBullet"/>
        <w:spacing w:after="40"/>
      </w:pPr>
      <w:r>
        <w:t>Do not guarantee that mathematical validation replaces human visual QA for every possible UI composition.</w:t>
      </w:r>
    </w:p>
    <w:p>
      <w:pPr>
        <w:pStyle w:val="Heading1"/>
      </w:pPr>
      <w:r>
        <w:t>4. High-Level Architecture</w:t>
      </w:r>
    </w:p>
    <w:tbl>
      <w:tblPr>
        <w:tblW w:type="auto" w:w="0"/>
        <w:jc w:val="center"/>
        <w:tblLook w:firstColumn="1" w:firstRow="1" w:lastColumn="0" w:lastRow="0" w:noHBand="0" w:noVBand="1" w:val="04A0"/>
      </w:tblPr>
      <w:tblGrid>
        <w:gridCol w:w="10080"/>
      </w:tblGrid>
      <w:tr>
        <w:tc>
          <w:tcPr>
            <w:tcW w:type="dxa" w:w="10080"/>
            <w:shd w:fill="F3F4F6"/>
          </w:tcPr>
          <w:p>
            <w:pPr>
              <w:spacing w:after="0"/>
            </w:pPr>
            <w:r>
              <w:rPr>
                <w:rFonts w:ascii="Consolas" w:hAnsi="Consolas"/>
                <w:sz w:val="16"/>
              </w:rPr>
              <w:t>User selects Primary / Secondary / Neutral</w:t>
              <w:br/>
            </w:r>
            <w:r>
              <w:rPr>
                <w:rFonts w:ascii="Consolas" w:hAnsi="Consolas"/>
                <w:sz w:val="16"/>
              </w:rPr>
              <w:t xml:space="preserve">                    |</w:t>
              <w:br/>
            </w:r>
            <w:r>
              <w:rPr>
                <w:rFonts w:ascii="Consolas" w:hAnsi="Consolas"/>
                <w:sz w:val="16"/>
              </w:rPr>
              <w:t xml:space="preserve">                    v</w:t>
              <w:br/>
            </w:r>
            <w:r>
              <w:rPr>
                <w:rFonts w:ascii="Consolas" w:hAnsi="Consolas"/>
                <w:sz w:val="16"/>
              </w:rPr>
              <w:t xml:space="preserve">             Input Validator</w:t>
              <w:br/>
            </w:r>
            <w:r>
              <w:rPr>
                <w:rFonts w:ascii="Consolas" w:hAnsi="Consolas"/>
                <w:sz w:val="16"/>
              </w:rPr>
              <w:t xml:space="preserve">                    |</w:t>
              <w:br/>
            </w:r>
            <w:r>
              <w:rPr>
                <w:rFonts w:ascii="Consolas" w:hAnsi="Consolas"/>
                <w:sz w:val="16"/>
              </w:rPr>
              <w:t xml:space="preserve">                    v</w:t>
              <w:br/>
            </w:r>
            <w:r>
              <w:rPr>
                <w:rFonts w:ascii="Consolas" w:hAnsi="Consolas"/>
                <w:sz w:val="16"/>
              </w:rPr>
              <w:t xml:space="preserve">            Palette Generator</w:t>
              <w:br/>
            </w:r>
            <w:r>
              <w:rPr>
                <w:rFonts w:ascii="Consolas" w:hAnsi="Consolas"/>
                <w:sz w:val="16"/>
              </w:rPr>
              <w:t xml:space="preserve">                    |</w:t>
              <w:br/>
            </w:r>
            <w:r>
              <w:rPr>
                <w:rFonts w:ascii="Consolas" w:hAnsi="Consolas"/>
                <w:sz w:val="16"/>
              </w:rPr>
              <w:t xml:space="preserve">                    v</w:t>
              <w:br/>
            </w:r>
            <w:r>
              <w:rPr>
                <w:rFonts w:ascii="Consolas" w:hAnsi="Consolas"/>
                <w:sz w:val="16"/>
              </w:rPr>
              <w:t xml:space="preserve">          Primitive Token Builder</w:t>
              <w:br/>
            </w:r>
            <w:r>
              <w:rPr>
                <w:rFonts w:ascii="Consolas" w:hAnsi="Consolas"/>
                <w:sz w:val="16"/>
              </w:rPr>
              <w:t xml:space="preserve">                    |</w:t>
              <w:br/>
            </w:r>
            <w:r>
              <w:rPr>
                <w:rFonts w:ascii="Consolas" w:hAnsi="Consolas"/>
                <w:sz w:val="16"/>
              </w:rPr>
              <w:t xml:space="preserve">                    v</w:t>
              <w:br/>
            </w:r>
            <w:r>
              <w:rPr>
                <w:rFonts w:ascii="Consolas" w:hAnsi="Consolas"/>
                <w:sz w:val="16"/>
              </w:rPr>
              <w:t xml:space="preserve">         Semantic Token Resolver</w:t>
              <w:br/>
            </w:r>
            <w:r>
              <w:rPr>
                <w:rFonts w:ascii="Consolas" w:hAnsi="Consolas"/>
                <w:sz w:val="16"/>
              </w:rPr>
              <w:t xml:space="preserve">                    |</w:t>
              <w:br/>
            </w:r>
            <w:r>
              <w:rPr>
                <w:rFonts w:ascii="Consolas" w:hAnsi="Consolas"/>
                <w:sz w:val="16"/>
              </w:rPr>
              <w:t xml:space="preserve">                    v</w:t>
              <w:br/>
            </w:r>
            <w:r>
              <w:rPr>
                <w:rFonts w:ascii="Consolas" w:hAnsi="Consolas"/>
                <w:sz w:val="16"/>
              </w:rPr>
              <w:t xml:space="preserve">          Theme Validation Engine</w:t>
              <w:br/>
            </w:r>
            <w:r>
              <w:rPr>
                <w:rFonts w:ascii="Consolas" w:hAnsi="Consolas"/>
                <w:sz w:val="16"/>
              </w:rPr>
              <w:t xml:space="preserve">       +------------+-------------+</w:t>
              <w:br/>
            </w:r>
            <w:r>
              <w:rPr>
                <w:rFonts w:ascii="Consolas" w:hAnsi="Consolas"/>
                <w:sz w:val="16"/>
              </w:rPr>
              <w:t xml:space="preserve">       |            |             |</w:t>
              <w:br/>
            </w:r>
            <w:r>
              <w:rPr>
                <w:rFonts w:ascii="Consolas" w:hAnsi="Consolas"/>
                <w:sz w:val="16"/>
              </w:rPr>
              <w:t xml:space="preserve">       v            v             v</w:t>
              <w:br/>
            </w:r>
            <w:r>
              <w:rPr>
                <w:rFonts w:ascii="Consolas" w:hAnsi="Consolas"/>
                <w:sz w:val="16"/>
              </w:rPr>
              <w:t xml:space="preserve">   Contrast     Similarity     Role/State</w:t>
              <w:br/>
            </w:r>
            <w:r>
              <w:rPr>
                <w:rFonts w:ascii="Consolas" w:hAnsi="Consolas"/>
                <w:sz w:val="16"/>
              </w:rPr>
              <w:t xml:space="preserve">   Validator     Validator      Validator</w:t>
              <w:br/>
            </w:r>
            <w:r>
              <w:rPr>
                <w:rFonts w:ascii="Consolas" w:hAnsi="Consolas"/>
                <w:sz w:val="16"/>
              </w:rPr>
              <w:t xml:space="preserve">       |            |             |</w:t>
              <w:br/>
            </w:r>
            <w:r>
              <w:rPr>
                <w:rFonts w:ascii="Consolas" w:hAnsi="Consolas"/>
                <w:sz w:val="16"/>
              </w:rPr>
              <w:t xml:space="preserve">       +------------+-------------+</w:t>
              <w:br/>
            </w:r>
            <w:r>
              <w:rPr>
                <w:rFonts w:ascii="Consolas" w:hAnsi="Consolas"/>
                <w:sz w:val="16"/>
              </w:rPr>
              <w:t xml:space="preserve">                    |</w:t>
              <w:br/>
            </w:r>
            <w:r>
              <w:rPr>
                <w:rFonts w:ascii="Consolas" w:hAnsi="Consolas"/>
                <w:sz w:val="16"/>
              </w:rPr>
              <w:t xml:space="preserve">                    v</w:t>
              <w:br/>
            </w:r>
            <w:r>
              <w:rPr>
                <w:rFonts w:ascii="Consolas" w:hAnsi="Consolas"/>
                <w:sz w:val="16"/>
              </w:rPr>
              <w:t xml:space="preserve">             Theme Health Score</w:t>
              <w:br/>
            </w:r>
            <w:r>
              <w:rPr>
                <w:rFonts w:ascii="Consolas" w:hAnsi="Consolas"/>
                <w:sz w:val="16"/>
              </w:rPr>
              <w:t xml:space="preserve">                    |</w:t>
              <w:br/>
            </w:r>
            <w:r>
              <w:rPr>
                <w:rFonts w:ascii="Consolas" w:hAnsi="Consolas"/>
                <w:sz w:val="16"/>
              </w:rPr>
              <w:t xml:space="preserve">             +------+------+</w:t>
              <w:br/>
            </w:r>
            <w:r>
              <w:rPr>
                <w:rFonts w:ascii="Consolas" w:hAnsi="Consolas"/>
                <w:sz w:val="16"/>
              </w:rPr>
              <w:t xml:space="preserve">             |             |</w:t>
              <w:br/>
            </w:r>
            <w:r>
              <w:rPr>
                <w:rFonts w:ascii="Consolas" w:hAnsi="Consolas"/>
                <w:sz w:val="16"/>
              </w:rPr>
              <w:t xml:space="preserve">             v             v</w:t>
              <w:br/>
            </w:r>
            <w:r>
              <w:rPr>
                <w:rFonts w:ascii="Consolas" w:hAnsi="Consolas"/>
                <w:sz w:val="16"/>
              </w:rPr>
              <w:t xml:space="preserve">           PASS        WARN/FAIL</w:t>
              <w:br/>
            </w:r>
            <w:r>
              <w:rPr>
                <w:rFonts w:ascii="Consolas" w:hAnsi="Consolas"/>
                <w:sz w:val="16"/>
              </w:rPr>
              <w:t xml:space="preserve">             |             |</w:t>
              <w:br/>
            </w:r>
            <w:r>
              <w:rPr>
                <w:rFonts w:ascii="Consolas" w:hAnsi="Consolas"/>
                <w:sz w:val="16"/>
              </w:rPr>
              <w:t xml:space="preserve">             v             v</w:t>
              <w:br/>
            </w:r>
            <w:r>
              <w:rPr>
                <w:rFonts w:ascii="Consolas" w:hAnsi="Consolas"/>
                <w:sz w:val="16"/>
              </w:rPr>
              <w:t xml:space="preserve">          Save        Suggestions</w:t>
              <w:br/>
            </w:r>
            <w:r>
              <w:rPr>
                <w:rFonts w:ascii="Consolas" w:hAnsi="Consolas"/>
                <w:sz w:val="16"/>
              </w:rPr>
              <w:t xml:space="preserve">             |</w:t>
              <w:br/>
            </w:r>
            <w:r>
              <w:rPr>
                <w:rFonts w:ascii="Consolas" w:hAnsi="Consolas"/>
                <w:sz w:val="16"/>
              </w:rPr>
              <w:t xml:space="preserve">             v</w:t>
              <w:br/>
            </w:r>
            <w:r>
              <w:rPr>
                <w:rFonts w:ascii="Consolas" w:hAnsi="Consolas"/>
                <w:sz w:val="16"/>
              </w:rPr>
              <w:t xml:space="preserve">        Website Preview</w:t>
            </w:r>
          </w:p>
        </w:tc>
      </w:tr>
    </w:tbl>
    <w:p>
      <w:pPr>
        <w:spacing w:after="20"/>
      </w:pPr>
    </w:p>
    <w:p>
      <w:pPr>
        <w:pStyle w:val="Heading1"/>
      </w:pPr>
      <w:r>
        <w:t>5. Core Design Principle: Primitive vs Semantic Tokens</w:t>
      </w:r>
    </w:p>
    <w:p>
      <w:r>
        <w:t>The implementation should have two layers. Primitive tokens represent generated color scales. Semantic tokens represent what a UI element means. Components should consume semantic tokens rather than directly consuming arbitrary primary-500 or neutral-700 values.</w:t>
      </w:r>
    </w:p>
    <w:p>
      <w:pPr>
        <w:pStyle w:val="Heading2"/>
      </w:pPr>
      <w:r>
        <w:t>5.1 Primitive tokens</w:t>
      </w:r>
    </w:p>
    <w:tbl>
      <w:tblPr>
        <w:tblW w:type="auto" w:w="0"/>
        <w:jc w:val="center"/>
        <w:tblLook w:firstColumn="1" w:firstRow="1" w:lastColumn="0" w:lastRow="0" w:noHBand="0" w:noVBand="1" w:val="04A0"/>
      </w:tblPr>
      <w:tblGrid>
        <w:gridCol w:w="10080"/>
      </w:tblGrid>
      <w:tr>
        <w:tc>
          <w:tcPr>
            <w:tcW w:type="dxa" w:w="10080"/>
            <w:shd w:fill="F3F4F6"/>
          </w:tcPr>
          <w:p>
            <w:pPr>
              <w:spacing w:after="0"/>
            </w:pPr>
            <w:r>
              <w:rPr>
                <w:rFonts w:ascii="Consolas" w:hAnsi="Consolas"/>
                <w:sz w:val="16"/>
              </w:rPr>
              <w:t>primary-50 ... primary-900</w:t>
              <w:br/>
            </w:r>
            <w:r>
              <w:rPr>
                <w:rFonts w:ascii="Consolas" w:hAnsi="Consolas"/>
                <w:sz w:val="16"/>
              </w:rPr>
              <w:t>secondary-50 ... secondary-900</w:t>
              <w:br/>
            </w:r>
            <w:r>
              <w:rPr>
                <w:rFonts w:ascii="Consolas" w:hAnsi="Consolas"/>
                <w:sz w:val="16"/>
              </w:rPr>
              <w:t>neutral-50 ... neutral-900</w:t>
            </w:r>
          </w:p>
        </w:tc>
      </w:tr>
    </w:tbl>
    <w:p>
      <w:pPr>
        <w:spacing w:after="20"/>
      </w:pPr>
    </w:p>
    <w:p>
      <w:pPr>
        <w:pStyle w:val="Heading2"/>
      </w:pPr>
      <w:r>
        <w:t>5.2 Semantic tokens</w:t>
      </w:r>
    </w:p>
    <w:tbl>
      <w:tblPr>
        <w:tblW w:type="auto" w:w="0"/>
        <w:jc w:val="center"/>
        <w:tblLook w:firstColumn="1" w:firstRow="1" w:lastColumn="0" w:lastRow="0" w:noHBand="0" w:noVBand="1" w:val="04A0"/>
      </w:tblPr>
      <w:tblGrid>
        <w:gridCol w:w="10080"/>
      </w:tblGrid>
      <w:tr>
        <w:tc>
          <w:tcPr>
            <w:tcW w:type="dxa" w:w="10080"/>
            <w:shd w:fill="F3F4F6"/>
          </w:tcPr>
          <w:p>
            <w:pPr>
              <w:spacing w:after="0"/>
            </w:pPr>
            <w:r>
              <w:rPr>
                <w:rFonts w:ascii="Consolas" w:hAnsi="Consolas"/>
                <w:sz w:val="16"/>
              </w:rPr>
              <w:t>background-primary</w:t>
              <w:br/>
            </w:r>
            <w:r>
              <w:rPr>
                <w:rFonts w:ascii="Consolas" w:hAnsi="Consolas"/>
                <w:sz w:val="16"/>
              </w:rPr>
              <w:t>background-secondary</w:t>
              <w:br/>
            </w:r>
            <w:r>
              <w:rPr>
                <w:rFonts w:ascii="Consolas" w:hAnsi="Consolas"/>
                <w:sz w:val="16"/>
              </w:rPr>
              <w:t>surface-primary</w:t>
              <w:br/>
            </w:r>
            <w:r>
              <w:rPr>
                <w:rFonts w:ascii="Consolas" w:hAnsi="Consolas"/>
                <w:sz w:val="16"/>
              </w:rPr>
              <w:t>surface-secondary</w:t>
              <w:br/>
            </w:r>
            <w:r>
              <w:rPr>
                <w:rFonts w:ascii="Consolas" w:hAnsi="Consolas"/>
                <w:sz w:val="16"/>
              </w:rPr>
              <w:br/>
            </w:r>
            <w:r>
              <w:rPr>
                <w:rFonts w:ascii="Consolas" w:hAnsi="Consolas"/>
                <w:sz w:val="16"/>
              </w:rPr>
              <w:t>text-primary</w:t>
              <w:br/>
            </w:r>
            <w:r>
              <w:rPr>
                <w:rFonts w:ascii="Consolas" w:hAnsi="Consolas"/>
                <w:sz w:val="16"/>
              </w:rPr>
              <w:t>text-secondary</w:t>
              <w:br/>
            </w:r>
            <w:r>
              <w:rPr>
                <w:rFonts w:ascii="Consolas" w:hAnsi="Consolas"/>
                <w:sz w:val="16"/>
              </w:rPr>
              <w:t>text-disabled</w:t>
              <w:br/>
            </w:r>
            <w:r>
              <w:rPr>
                <w:rFonts w:ascii="Consolas" w:hAnsi="Consolas"/>
                <w:sz w:val="16"/>
              </w:rPr>
              <w:t>text-on-primary</w:t>
              <w:br/>
            </w:r>
            <w:r>
              <w:rPr>
                <w:rFonts w:ascii="Consolas" w:hAnsi="Consolas"/>
                <w:sz w:val="16"/>
              </w:rPr>
              <w:t>text-on-secondary</w:t>
              <w:br/>
            </w:r>
            <w:r>
              <w:rPr>
                <w:rFonts w:ascii="Consolas" w:hAnsi="Consolas"/>
                <w:sz w:val="16"/>
              </w:rPr>
              <w:br/>
            </w:r>
            <w:r>
              <w:rPr>
                <w:rFonts w:ascii="Consolas" w:hAnsi="Consolas"/>
                <w:sz w:val="16"/>
              </w:rPr>
              <w:t>border-default</w:t>
              <w:br/>
            </w:r>
            <w:r>
              <w:rPr>
                <w:rFonts w:ascii="Consolas" w:hAnsi="Consolas"/>
                <w:sz w:val="16"/>
              </w:rPr>
              <w:t>border-subtle</w:t>
              <w:br/>
            </w:r>
            <w:r>
              <w:rPr>
                <w:rFonts w:ascii="Consolas" w:hAnsi="Consolas"/>
                <w:sz w:val="16"/>
              </w:rPr>
              <w:t>border-strong</w:t>
              <w:br/>
            </w:r>
            <w:r>
              <w:rPr>
                <w:rFonts w:ascii="Consolas" w:hAnsi="Consolas"/>
                <w:sz w:val="16"/>
              </w:rPr>
              <w:br/>
            </w:r>
            <w:r>
              <w:rPr>
                <w:rFonts w:ascii="Consolas" w:hAnsi="Consolas"/>
                <w:sz w:val="16"/>
              </w:rPr>
              <w:t>button-primary-background</w:t>
              <w:br/>
            </w:r>
            <w:r>
              <w:rPr>
                <w:rFonts w:ascii="Consolas" w:hAnsi="Consolas"/>
                <w:sz w:val="16"/>
              </w:rPr>
              <w:t>button-primary-text</w:t>
              <w:br/>
            </w:r>
            <w:r>
              <w:rPr>
                <w:rFonts w:ascii="Consolas" w:hAnsi="Consolas"/>
                <w:sz w:val="16"/>
              </w:rPr>
              <w:t>button-primary-hover</w:t>
              <w:br/>
            </w:r>
            <w:r>
              <w:rPr>
                <w:rFonts w:ascii="Consolas" w:hAnsi="Consolas"/>
                <w:sz w:val="16"/>
              </w:rPr>
              <w:t>button-primary-active</w:t>
              <w:br/>
            </w:r>
            <w:r>
              <w:rPr>
                <w:rFonts w:ascii="Consolas" w:hAnsi="Consolas"/>
                <w:sz w:val="16"/>
              </w:rPr>
              <w:br/>
            </w:r>
            <w:r>
              <w:rPr>
                <w:rFonts w:ascii="Consolas" w:hAnsi="Consolas"/>
                <w:sz w:val="16"/>
              </w:rPr>
              <w:t>button-secondary-background</w:t>
              <w:br/>
            </w:r>
            <w:r>
              <w:rPr>
                <w:rFonts w:ascii="Consolas" w:hAnsi="Consolas"/>
                <w:sz w:val="16"/>
              </w:rPr>
              <w:t>button-secondary-text</w:t>
              <w:br/>
            </w:r>
            <w:r>
              <w:rPr>
                <w:rFonts w:ascii="Consolas" w:hAnsi="Consolas"/>
                <w:sz w:val="16"/>
              </w:rPr>
              <w:br/>
            </w:r>
            <w:r>
              <w:rPr>
                <w:rFonts w:ascii="Consolas" w:hAnsi="Consolas"/>
                <w:sz w:val="16"/>
              </w:rPr>
              <w:t>link-default</w:t>
              <w:br/>
            </w:r>
            <w:r>
              <w:rPr>
                <w:rFonts w:ascii="Consolas" w:hAnsi="Consolas"/>
                <w:sz w:val="16"/>
              </w:rPr>
              <w:t>link-hover</w:t>
              <w:br/>
            </w:r>
            <w:r>
              <w:rPr>
                <w:rFonts w:ascii="Consolas" w:hAnsi="Consolas"/>
                <w:sz w:val="16"/>
              </w:rPr>
              <w:t>focus-ring</w:t>
              <w:br/>
            </w:r>
            <w:r>
              <w:rPr>
                <w:rFonts w:ascii="Consolas" w:hAnsi="Consolas"/>
                <w:sz w:val="16"/>
              </w:rPr>
              <w:t>input-border</w:t>
              <w:br/>
            </w:r>
            <w:r>
              <w:rPr>
                <w:rFonts w:ascii="Consolas" w:hAnsi="Consolas"/>
                <w:sz w:val="16"/>
              </w:rPr>
              <w:t>input-focus-border</w:t>
            </w:r>
          </w:p>
        </w:tc>
      </w:tr>
    </w:tbl>
    <w:p>
      <w:pPr>
        <w:spacing w:after="20"/>
      </w:pPr>
    </w:p>
    <w:p>
      <w:pPr>
        <w:pStyle w:val="Heading1"/>
      </w:pPr>
      <w:r>
        <w:t>6. Complete Validation Pipeline</w:t>
      </w:r>
    </w:p>
    <w:p>
      <w:pPr>
        <w:spacing w:after="60"/>
      </w:pPr>
      <w:r>
        <w:rPr>
          <w:b/>
        </w:rPr>
        <w:t xml:space="preserve">Input normalization: </w:t>
      </w:r>
      <w:r>
        <w:t>Normalize HEX/RGB/HSL input, uppercase/lowercase consistently, remove whitespace, and canonicalize 3/6-digit HEX where applicable.</w:t>
      </w:r>
    </w:p>
    <w:p>
      <w:pPr>
        <w:spacing w:after="60"/>
      </w:pPr>
      <w:r>
        <w:rPr>
          <w:b/>
        </w:rPr>
        <w:t xml:space="preserve">Format validation: </w:t>
      </w:r>
      <w:r>
        <w:t>Reject malformed colors, unsupported color spaces, invalid alpha values, and values outside the permitted input model.</w:t>
      </w:r>
    </w:p>
    <w:p>
      <w:pPr>
        <w:spacing w:after="60"/>
      </w:pPr>
      <w:r>
        <w:rPr>
          <w:b/>
        </w:rPr>
        <w:t xml:space="preserve">Exact duplicate validation: </w:t>
      </w:r>
      <w:r>
        <w:t>Compare canonical color values. Primary=Secondary, Primary=Neutral, or Secondary=Neutral should be a blocking error unless a deliberately supported theme mode says otherwise.</w:t>
      </w:r>
    </w:p>
    <w:p>
      <w:pPr>
        <w:spacing w:after="60"/>
      </w:pPr>
      <w:r>
        <w:rPr>
          <w:b/>
        </w:rPr>
        <w:t xml:space="preserve">Perceptual similarity validation: </w:t>
      </w:r>
      <w:r>
        <w:t>Convert colors to a perceptually useful space and calculate a Delta-E or equivalent distance. Use this as a warning/blocking signal based on semantic roles.</w:t>
      </w:r>
    </w:p>
    <w:p>
      <w:pPr>
        <w:spacing w:after="60"/>
      </w:pPr>
      <w:r>
        <w:rPr>
          <w:b/>
        </w:rPr>
        <w:t xml:space="preserve">Palette generation: </w:t>
      </w:r>
      <w:r>
        <w:t>Generate tonal scales for Primary, Secondary, and Neutral using a controlled color-space algorithm.</w:t>
      </w:r>
    </w:p>
    <w:p>
      <w:pPr>
        <w:spacing w:after="60"/>
      </w:pPr>
      <w:r>
        <w:rPr>
          <w:b/>
        </w:rPr>
        <w:t xml:space="preserve">Gamut validation: </w:t>
      </w:r>
      <w:r>
        <w:t>Ensure generated colors can be represented in the target CSS color space; use gamut mapping rather than naive clipping when necessary.</w:t>
      </w:r>
    </w:p>
    <w:p>
      <w:pPr>
        <w:spacing w:after="60"/>
      </w:pPr>
      <w:r>
        <w:rPr>
          <w:b/>
        </w:rPr>
        <w:t xml:space="preserve">Primitive token validation: </w:t>
      </w:r>
      <w:r>
        <w:t>Check scale ordering, duplicate generated values, extreme clipping, unexpected hue shifts, and insufficient usable range.</w:t>
      </w:r>
    </w:p>
    <w:p>
      <w:pPr>
        <w:spacing w:after="60"/>
      </w:pPr>
      <w:r>
        <w:rPr>
          <w:b/>
        </w:rPr>
        <w:t xml:space="preserve">Semantic mapping: </w:t>
      </w:r>
      <w:r>
        <w:t>Resolve every semantic token to a primitive token or explicit color.</w:t>
      </w:r>
    </w:p>
    <w:p>
      <w:pPr>
        <w:spacing w:after="60"/>
      </w:pPr>
      <w:r>
        <w:rPr>
          <w:b/>
        </w:rPr>
        <w:t xml:space="preserve">Contrast validation: </w:t>
      </w:r>
      <w:r>
        <w:t>Calculate foreground/background contrast for all text, link, button, form, and other applicable combinations.</w:t>
      </w:r>
    </w:p>
    <w:p>
      <w:pPr>
        <w:spacing w:after="60"/>
      </w:pPr>
      <w:r>
        <w:rPr>
          <w:b/>
        </w:rPr>
        <w:t xml:space="preserve">State validation: </w:t>
      </w:r>
      <w:r>
        <w:t>Validate hover, focus, active, selected, disabled, error, success, and warning states.</w:t>
      </w:r>
    </w:p>
    <w:p>
      <w:pPr>
        <w:spacing w:after="60"/>
      </w:pPr>
      <w:r>
        <w:rPr>
          <w:b/>
        </w:rPr>
        <w:t xml:space="preserve">Component validation: </w:t>
      </w:r>
      <w:r>
        <w:t>Validate representative UI roles such as navigation, cards, tables, forms, buttons, badges, alerts, modals, tabs, and pagination.</w:t>
      </w:r>
    </w:p>
    <w:p>
      <w:pPr>
        <w:spacing w:after="60"/>
      </w:pPr>
      <w:r>
        <w:rPr>
          <w:b/>
        </w:rPr>
        <w:t xml:space="preserve">Light/dark validation: </w:t>
      </w:r>
      <w:r>
        <w:t>If both themes are supported, run the full rule set independently for each theme.</w:t>
      </w:r>
    </w:p>
    <w:p>
      <w:pPr>
        <w:spacing w:after="60"/>
      </w:pPr>
      <w:r>
        <w:rPr>
          <w:b/>
        </w:rPr>
        <w:t xml:space="preserve">Theme scoring: </w:t>
      </w:r>
      <w:r>
        <w:t>Aggregate errors, warnings, and passing checks into a health score and categorized validation report.</w:t>
      </w:r>
    </w:p>
    <w:p>
      <w:pPr>
        <w:spacing w:after="60"/>
      </w:pPr>
      <w:r>
        <w:rPr>
          <w:b/>
        </w:rPr>
        <w:t xml:space="preserve">Preview validation: </w:t>
      </w:r>
      <w:r>
        <w:t>Render the actual theme against a representative component gallery and perform visual/automated regression checks.</w:t>
      </w:r>
    </w:p>
    <w:p>
      <w:pPr>
        <w:spacing w:after="60"/>
      </w:pPr>
      <w:r>
        <w:rPr>
          <w:b/>
        </w:rPr>
        <w:t xml:space="preserve">Persistence validation: </w:t>
      </w:r>
      <w:r>
        <w:t>Re-run authoritative server-side validation before saving the theme configuration.</w:t>
      </w:r>
    </w:p>
    <w:p>
      <w:pPr>
        <w:pStyle w:val="Heading1"/>
      </w:pPr>
      <w:r>
        <w:t>7. Validation Rule Categories</w:t>
      </w:r>
    </w:p>
    <w:tbl>
      <w:tblPr>
        <w:tblW w:type="auto" w:w="0"/>
        <w:jc w:val="center"/>
        <w:tblLook w:firstColumn="1" w:firstRow="1" w:lastColumn="0" w:lastRow="0" w:noHBand="0" w:noVBand="1" w:val="04A0"/>
      </w:tblPr>
      <w:tblGrid>
        <w:gridCol w:w="2016"/>
        <w:gridCol w:w="2016"/>
        <w:gridCol w:w="2016"/>
        <w:gridCol w:w="2016"/>
        <w:gridCol w:w="2016"/>
      </w:tblGrid>
      <w:tr>
        <w:tc>
          <w:tcPr>
            <w:tcW w:type="dxa" w:w="2016"/>
            <w:vAlign w:val="center"/>
            <w:shd w:fill="D9E2F3"/>
          </w:tcPr>
          <w:p>
            <w:r/>
            <w:r>
              <w:rPr>
                <w:b/>
                <w:sz w:val="17"/>
              </w:rPr>
              <w:t>Rule</w:t>
            </w:r>
          </w:p>
        </w:tc>
        <w:tc>
          <w:tcPr>
            <w:tcW w:type="dxa" w:w="2016"/>
            <w:vAlign w:val="center"/>
            <w:shd w:fill="D9E2F3"/>
          </w:tcPr>
          <w:p>
            <w:r/>
            <w:r>
              <w:rPr>
                <w:b/>
                <w:sz w:val="17"/>
              </w:rPr>
              <w:t>Example</w:t>
            </w:r>
          </w:p>
        </w:tc>
        <w:tc>
          <w:tcPr>
            <w:tcW w:type="dxa" w:w="2016"/>
            <w:vAlign w:val="center"/>
            <w:shd w:fill="D9E2F3"/>
          </w:tcPr>
          <w:p>
            <w:r/>
            <w:r>
              <w:rPr>
                <w:b/>
                <w:sz w:val="17"/>
              </w:rPr>
              <w:t>Severity</w:t>
            </w:r>
          </w:p>
        </w:tc>
        <w:tc>
          <w:tcPr>
            <w:tcW w:type="dxa" w:w="2016"/>
            <w:vAlign w:val="center"/>
            <w:shd w:fill="D9E2F3"/>
          </w:tcPr>
          <w:p>
            <w:r/>
            <w:r>
              <w:rPr>
                <w:b/>
                <w:sz w:val="17"/>
              </w:rPr>
              <w:t>Action</w:t>
            </w:r>
          </w:p>
        </w:tc>
        <w:tc>
          <w:tcPr>
            <w:tcW w:type="dxa" w:w="2016"/>
            <w:vAlign w:val="center"/>
            <w:shd w:fill="D9E2F3"/>
          </w:tcPr>
          <w:p>
            <w:r/>
            <w:r>
              <w:rPr>
                <w:b/>
                <w:sz w:val="17"/>
              </w:rPr>
              <w:t>Owner</w:t>
            </w:r>
          </w:p>
        </w:tc>
      </w:tr>
      <w:tr>
        <w:tc>
          <w:tcPr>
            <w:tcW w:type="dxa" w:w="2016"/>
            <w:vAlign w:val="center"/>
          </w:tcPr>
          <w:p>
            <w:r/>
            <w:r>
              <w:rPr>
                <w:b w:val="0"/>
                <w:sz w:val="17"/>
              </w:rPr>
              <w:t>Exact duplicate</w:t>
            </w:r>
          </w:p>
        </w:tc>
        <w:tc>
          <w:tcPr>
            <w:tcW w:type="dxa" w:w="2016"/>
            <w:vAlign w:val="center"/>
          </w:tcPr>
          <w:p>
            <w:r/>
            <w:r>
              <w:rPr>
                <w:b w:val="0"/>
                <w:sz w:val="17"/>
              </w:rPr>
              <w:t>Primary == Secondary</w:t>
            </w:r>
          </w:p>
        </w:tc>
        <w:tc>
          <w:tcPr>
            <w:tcW w:type="dxa" w:w="2016"/>
            <w:vAlign w:val="center"/>
          </w:tcPr>
          <w:p>
            <w:r/>
            <w:r>
              <w:rPr>
                <w:b w:val="0"/>
                <w:sz w:val="17"/>
              </w:rPr>
              <w:t>Error</w:t>
            </w:r>
          </w:p>
        </w:tc>
        <w:tc>
          <w:tcPr>
            <w:tcW w:type="dxa" w:w="2016"/>
            <w:vAlign w:val="center"/>
          </w:tcPr>
          <w:p>
            <w:r/>
            <w:r>
              <w:rPr>
                <w:b w:val="0"/>
                <w:sz w:val="17"/>
              </w:rPr>
              <w:t>Block save</w:t>
            </w:r>
          </w:p>
        </w:tc>
        <w:tc>
          <w:tcPr>
            <w:tcW w:type="dxa" w:w="2016"/>
            <w:vAlign w:val="center"/>
          </w:tcPr>
          <w:p>
            <w:r/>
            <w:r>
              <w:rPr>
                <w:b w:val="0"/>
                <w:sz w:val="17"/>
              </w:rPr>
              <w:t>Theme Engine</w:t>
            </w:r>
          </w:p>
        </w:tc>
      </w:tr>
      <w:tr>
        <w:tc>
          <w:tcPr>
            <w:tcW w:type="dxa" w:w="2016"/>
            <w:vAlign w:val="center"/>
          </w:tcPr>
          <w:p>
            <w:r/>
            <w:r>
              <w:rPr>
                <w:b w:val="0"/>
                <w:sz w:val="17"/>
              </w:rPr>
              <w:t>Invalid color</w:t>
            </w:r>
          </w:p>
        </w:tc>
        <w:tc>
          <w:tcPr>
            <w:tcW w:type="dxa" w:w="2016"/>
            <w:vAlign w:val="center"/>
          </w:tcPr>
          <w:p>
            <w:r/>
            <w:r>
              <w:rPr>
                <w:b w:val="0"/>
                <w:sz w:val="17"/>
              </w:rPr>
              <w:t>Malformed HEX</w:t>
            </w:r>
          </w:p>
        </w:tc>
        <w:tc>
          <w:tcPr>
            <w:tcW w:type="dxa" w:w="2016"/>
            <w:vAlign w:val="center"/>
          </w:tcPr>
          <w:p>
            <w:r/>
            <w:r>
              <w:rPr>
                <w:b w:val="0"/>
                <w:sz w:val="17"/>
              </w:rPr>
              <w:t>Error</w:t>
            </w:r>
          </w:p>
        </w:tc>
        <w:tc>
          <w:tcPr>
            <w:tcW w:type="dxa" w:w="2016"/>
            <w:vAlign w:val="center"/>
          </w:tcPr>
          <w:p>
            <w:r/>
            <w:r>
              <w:rPr>
                <w:b w:val="0"/>
                <w:sz w:val="17"/>
              </w:rPr>
              <w:t>Block save</w:t>
            </w:r>
          </w:p>
        </w:tc>
        <w:tc>
          <w:tcPr>
            <w:tcW w:type="dxa" w:w="2016"/>
            <w:vAlign w:val="center"/>
          </w:tcPr>
          <w:p>
            <w:r/>
            <w:r>
              <w:rPr>
                <w:b w:val="0"/>
                <w:sz w:val="17"/>
              </w:rPr>
              <w:t>Theme Engine</w:t>
            </w:r>
          </w:p>
        </w:tc>
      </w:tr>
      <w:tr>
        <w:tc>
          <w:tcPr>
            <w:tcW w:type="dxa" w:w="2016"/>
            <w:vAlign w:val="center"/>
          </w:tcPr>
          <w:p>
            <w:r/>
            <w:r>
              <w:rPr>
                <w:b w:val="0"/>
                <w:sz w:val="17"/>
              </w:rPr>
              <w:t>High similarity</w:t>
            </w:r>
          </w:p>
        </w:tc>
        <w:tc>
          <w:tcPr>
            <w:tcW w:type="dxa" w:w="2016"/>
            <w:vAlign w:val="center"/>
          </w:tcPr>
          <w:p>
            <w:r/>
            <w:r>
              <w:rPr>
                <w:b w:val="0"/>
                <w:sz w:val="17"/>
              </w:rPr>
              <w:t>Primary/Secondary nearly identical</w:t>
            </w:r>
          </w:p>
        </w:tc>
        <w:tc>
          <w:tcPr>
            <w:tcW w:type="dxa" w:w="2016"/>
            <w:vAlign w:val="center"/>
          </w:tcPr>
          <w:p>
            <w:r/>
            <w:r>
              <w:rPr>
                <w:b w:val="0"/>
                <w:sz w:val="17"/>
              </w:rPr>
              <w:t>Warning/Error*</w:t>
            </w:r>
          </w:p>
        </w:tc>
        <w:tc>
          <w:tcPr>
            <w:tcW w:type="dxa" w:w="2016"/>
            <w:vAlign w:val="center"/>
          </w:tcPr>
          <w:p>
            <w:r/>
            <w:r>
              <w:rPr>
                <w:b w:val="0"/>
                <w:sz w:val="17"/>
              </w:rPr>
              <w:t>Warn or block</w:t>
            </w:r>
          </w:p>
        </w:tc>
        <w:tc>
          <w:tcPr>
            <w:tcW w:type="dxa" w:w="2016"/>
            <w:vAlign w:val="center"/>
          </w:tcPr>
          <w:p>
            <w:r/>
            <w:r>
              <w:rPr>
                <w:b w:val="0"/>
                <w:sz w:val="17"/>
              </w:rPr>
              <w:t>Design System</w:t>
            </w:r>
          </w:p>
        </w:tc>
      </w:tr>
      <w:tr>
        <w:tc>
          <w:tcPr>
            <w:tcW w:type="dxa" w:w="2016"/>
            <w:vAlign w:val="center"/>
          </w:tcPr>
          <w:p>
            <w:r/>
            <w:r>
              <w:rPr>
                <w:b w:val="0"/>
                <w:sz w:val="17"/>
              </w:rPr>
              <w:t>Normal text contrast</w:t>
            </w:r>
          </w:p>
        </w:tc>
        <w:tc>
          <w:tcPr>
            <w:tcW w:type="dxa" w:w="2016"/>
            <w:vAlign w:val="center"/>
          </w:tcPr>
          <w:p>
            <w:r/>
            <w:r>
              <w:rPr>
                <w:b w:val="0"/>
                <w:sz w:val="17"/>
              </w:rPr>
              <w:t>Text/background &lt; 4.5:1</w:t>
            </w:r>
          </w:p>
        </w:tc>
        <w:tc>
          <w:tcPr>
            <w:tcW w:type="dxa" w:w="2016"/>
            <w:vAlign w:val="center"/>
          </w:tcPr>
          <w:p>
            <w:r/>
            <w:r>
              <w:rPr>
                <w:b w:val="0"/>
                <w:sz w:val="17"/>
              </w:rPr>
              <w:t>Error</w:t>
            </w:r>
          </w:p>
        </w:tc>
        <w:tc>
          <w:tcPr>
            <w:tcW w:type="dxa" w:w="2016"/>
            <w:vAlign w:val="center"/>
          </w:tcPr>
          <w:p>
            <w:r/>
            <w:r>
              <w:rPr>
                <w:b w:val="0"/>
                <w:sz w:val="17"/>
              </w:rPr>
              <w:t>Block save</w:t>
            </w:r>
          </w:p>
        </w:tc>
        <w:tc>
          <w:tcPr>
            <w:tcW w:type="dxa" w:w="2016"/>
            <w:vAlign w:val="center"/>
          </w:tcPr>
          <w:p>
            <w:r/>
            <w:r>
              <w:rPr>
                <w:b w:val="0"/>
                <w:sz w:val="17"/>
              </w:rPr>
              <w:t>Accessibility</w:t>
            </w:r>
          </w:p>
        </w:tc>
      </w:tr>
      <w:tr>
        <w:tc>
          <w:tcPr>
            <w:tcW w:type="dxa" w:w="2016"/>
            <w:vAlign w:val="center"/>
          </w:tcPr>
          <w:p>
            <w:r/>
            <w:r>
              <w:rPr>
                <w:b w:val="0"/>
                <w:sz w:val="17"/>
              </w:rPr>
              <w:t>Large text contrast</w:t>
            </w:r>
          </w:p>
        </w:tc>
        <w:tc>
          <w:tcPr>
            <w:tcW w:type="dxa" w:w="2016"/>
            <w:vAlign w:val="center"/>
          </w:tcPr>
          <w:p>
            <w:r/>
            <w:r>
              <w:rPr>
                <w:b w:val="0"/>
                <w:sz w:val="17"/>
              </w:rPr>
              <w:t>Large text &lt; 3:1</w:t>
            </w:r>
          </w:p>
        </w:tc>
        <w:tc>
          <w:tcPr>
            <w:tcW w:type="dxa" w:w="2016"/>
            <w:vAlign w:val="center"/>
          </w:tcPr>
          <w:p>
            <w:r/>
            <w:r>
              <w:rPr>
                <w:b w:val="0"/>
                <w:sz w:val="17"/>
              </w:rPr>
              <w:t>Error</w:t>
            </w:r>
          </w:p>
        </w:tc>
        <w:tc>
          <w:tcPr>
            <w:tcW w:type="dxa" w:w="2016"/>
            <w:vAlign w:val="center"/>
          </w:tcPr>
          <w:p>
            <w:r/>
            <w:r>
              <w:rPr>
                <w:b w:val="0"/>
                <w:sz w:val="17"/>
              </w:rPr>
              <w:t>Block save</w:t>
            </w:r>
          </w:p>
        </w:tc>
        <w:tc>
          <w:tcPr>
            <w:tcW w:type="dxa" w:w="2016"/>
            <w:vAlign w:val="center"/>
          </w:tcPr>
          <w:p>
            <w:r/>
            <w:r>
              <w:rPr>
                <w:b w:val="0"/>
                <w:sz w:val="17"/>
              </w:rPr>
              <w:t>Accessibility</w:t>
            </w:r>
          </w:p>
        </w:tc>
      </w:tr>
      <w:tr>
        <w:tc>
          <w:tcPr>
            <w:tcW w:type="dxa" w:w="2016"/>
            <w:vAlign w:val="center"/>
          </w:tcPr>
          <w:p>
            <w:r/>
            <w:r>
              <w:rPr>
                <w:b w:val="0"/>
                <w:sz w:val="17"/>
              </w:rPr>
              <w:t>UI contrast</w:t>
            </w:r>
          </w:p>
        </w:tc>
        <w:tc>
          <w:tcPr>
            <w:tcW w:type="dxa" w:w="2016"/>
            <w:vAlign w:val="center"/>
          </w:tcPr>
          <w:p>
            <w:r/>
            <w:r>
              <w:rPr>
                <w:b w:val="0"/>
                <w:sz w:val="17"/>
              </w:rPr>
              <w:t>Applicable UI boundary &lt; 3:1</w:t>
            </w:r>
          </w:p>
        </w:tc>
        <w:tc>
          <w:tcPr>
            <w:tcW w:type="dxa" w:w="2016"/>
            <w:vAlign w:val="center"/>
          </w:tcPr>
          <w:p>
            <w:r/>
            <w:r>
              <w:rPr>
                <w:b w:val="0"/>
                <w:sz w:val="17"/>
              </w:rPr>
              <w:t>Error/Warning*</w:t>
            </w:r>
          </w:p>
        </w:tc>
        <w:tc>
          <w:tcPr>
            <w:tcW w:type="dxa" w:w="2016"/>
            <w:vAlign w:val="center"/>
          </w:tcPr>
          <w:p>
            <w:r/>
            <w:r>
              <w:rPr>
                <w:b w:val="0"/>
                <w:sz w:val="17"/>
              </w:rPr>
              <w:t>Block or warn</w:t>
            </w:r>
          </w:p>
        </w:tc>
        <w:tc>
          <w:tcPr>
            <w:tcW w:type="dxa" w:w="2016"/>
            <w:vAlign w:val="center"/>
          </w:tcPr>
          <w:p>
            <w:r/>
            <w:r>
              <w:rPr>
                <w:b w:val="0"/>
                <w:sz w:val="17"/>
              </w:rPr>
              <w:t>Accessibility</w:t>
            </w:r>
          </w:p>
        </w:tc>
      </w:tr>
      <w:tr>
        <w:tc>
          <w:tcPr>
            <w:tcW w:type="dxa" w:w="2016"/>
            <w:vAlign w:val="center"/>
          </w:tcPr>
          <w:p>
            <w:r/>
            <w:r>
              <w:rPr>
                <w:b w:val="0"/>
                <w:sz w:val="17"/>
              </w:rPr>
              <w:t>Token duplication</w:t>
            </w:r>
          </w:p>
        </w:tc>
        <w:tc>
          <w:tcPr>
            <w:tcW w:type="dxa" w:w="2016"/>
            <w:vAlign w:val="center"/>
          </w:tcPr>
          <w:p>
            <w:r/>
            <w:r>
              <w:rPr>
                <w:b w:val="0"/>
                <w:sz w:val="17"/>
              </w:rPr>
              <w:t>Two semantic roles resolve identically</w:t>
            </w:r>
          </w:p>
        </w:tc>
        <w:tc>
          <w:tcPr>
            <w:tcW w:type="dxa" w:w="2016"/>
            <w:vAlign w:val="center"/>
          </w:tcPr>
          <w:p>
            <w:r/>
            <w:r>
              <w:rPr>
                <w:b w:val="0"/>
                <w:sz w:val="17"/>
              </w:rPr>
              <w:t>Warning</w:t>
            </w:r>
          </w:p>
        </w:tc>
        <w:tc>
          <w:tcPr>
            <w:tcW w:type="dxa" w:w="2016"/>
            <w:vAlign w:val="center"/>
          </w:tcPr>
          <w:p>
            <w:r/>
            <w:r>
              <w:rPr>
                <w:b w:val="0"/>
                <w:sz w:val="17"/>
              </w:rPr>
              <w:t>Review</w:t>
            </w:r>
          </w:p>
        </w:tc>
        <w:tc>
          <w:tcPr>
            <w:tcW w:type="dxa" w:w="2016"/>
            <w:vAlign w:val="center"/>
          </w:tcPr>
          <w:p>
            <w:r/>
            <w:r>
              <w:rPr>
                <w:b w:val="0"/>
                <w:sz w:val="17"/>
              </w:rPr>
              <w:t>Design System</w:t>
            </w:r>
          </w:p>
        </w:tc>
      </w:tr>
      <w:tr>
        <w:tc>
          <w:tcPr>
            <w:tcW w:type="dxa" w:w="2016"/>
            <w:vAlign w:val="center"/>
          </w:tcPr>
          <w:p>
            <w:r/>
            <w:r>
              <w:rPr>
                <w:b w:val="0"/>
                <w:sz w:val="17"/>
              </w:rPr>
              <w:t>State collision</w:t>
            </w:r>
          </w:p>
        </w:tc>
        <w:tc>
          <w:tcPr>
            <w:tcW w:type="dxa" w:w="2016"/>
            <w:vAlign w:val="center"/>
          </w:tcPr>
          <w:p>
            <w:r/>
            <w:r>
              <w:rPr>
                <w:b w:val="0"/>
                <w:sz w:val="17"/>
              </w:rPr>
              <w:t>Hover == default</w:t>
            </w:r>
          </w:p>
        </w:tc>
        <w:tc>
          <w:tcPr>
            <w:tcW w:type="dxa" w:w="2016"/>
            <w:vAlign w:val="center"/>
          </w:tcPr>
          <w:p>
            <w:r/>
            <w:r>
              <w:rPr>
                <w:b w:val="0"/>
                <w:sz w:val="17"/>
              </w:rPr>
              <w:t>Warning/Error*</w:t>
            </w:r>
          </w:p>
        </w:tc>
        <w:tc>
          <w:tcPr>
            <w:tcW w:type="dxa" w:w="2016"/>
            <w:vAlign w:val="center"/>
          </w:tcPr>
          <w:p>
            <w:r/>
            <w:r>
              <w:rPr>
                <w:b w:val="0"/>
                <w:sz w:val="17"/>
              </w:rPr>
              <w:t>Review/block</w:t>
            </w:r>
          </w:p>
        </w:tc>
        <w:tc>
          <w:tcPr>
            <w:tcW w:type="dxa" w:w="2016"/>
            <w:vAlign w:val="center"/>
          </w:tcPr>
          <w:p>
            <w:r/>
            <w:r>
              <w:rPr>
                <w:b w:val="0"/>
                <w:sz w:val="17"/>
              </w:rPr>
              <w:t>Component</w:t>
            </w:r>
          </w:p>
        </w:tc>
      </w:tr>
      <w:tr>
        <w:tc>
          <w:tcPr>
            <w:tcW w:type="dxa" w:w="2016"/>
            <w:vAlign w:val="center"/>
          </w:tcPr>
          <w:p>
            <w:r/>
            <w:r>
              <w:rPr>
                <w:b w:val="0"/>
                <w:sz w:val="17"/>
              </w:rPr>
              <w:t>Focus visibility</w:t>
            </w:r>
          </w:p>
        </w:tc>
        <w:tc>
          <w:tcPr>
            <w:tcW w:type="dxa" w:w="2016"/>
            <w:vAlign w:val="center"/>
          </w:tcPr>
          <w:p>
            <w:r/>
            <w:r>
              <w:rPr>
                <w:b w:val="0"/>
                <w:sz w:val="17"/>
              </w:rPr>
              <w:t>Focus ring indistinguishable</w:t>
            </w:r>
          </w:p>
        </w:tc>
        <w:tc>
          <w:tcPr>
            <w:tcW w:type="dxa" w:w="2016"/>
            <w:vAlign w:val="center"/>
          </w:tcPr>
          <w:p>
            <w:r/>
            <w:r>
              <w:rPr>
                <w:b w:val="0"/>
                <w:sz w:val="17"/>
              </w:rPr>
              <w:t>Error</w:t>
            </w:r>
          </w:p>
        </w:tc>
        <w:tc>
          <w:tcPr>
            <w:tcW w:type="dxa" w:w="2016"/>
            <w:vAlign w:val="center"/>
          </w:tcPr>
          <w:p>
            <w:r/>
            <w:r>
              <w:rPr>
                <w:b w:val="0"/>
                <w:sz w:val="17"/>
              </w:rPr>
              <w:t>Block save</w:t>
            </w:r>
          </w:p>
        </w:tc>
        <w:tc>
          <w:tcPr>
            <w:tcW w:type="dxa" w:w="2016"/>
            <w:vAlign w:val="center"/>
          </w:tcPr>
          <w:p>
            <w:r/>
            <w:r>
              <w:rPr>
                <w:b w:val="0"/>
                <w:sz w:val="17"/>
              </w:rPr>
              <w:t>Accessibility</w:t>
            </w:r>
          </w:p>
        </w:tc>
      </w:tr>
      <w:tr>
        <w:tc>
          <w:tcPr>
            <w:tcW w:type="dxa" w:w="2016"/>
            <w:vAlign w:val="center"/>
          </w:tcPr>
          <w:p>
            <w:r/>
            <w:r>
              <w:rPr>
                <w:b w:val="0"/>
                <w:sz w:val="17"/>
              </w:rPr>
              <w:t>Palette collapse</w:t>
            </w:r>
          </w:p>
        </w:tc>
        <w:tc>
          <w:tcPr>
            <w:tcW w:type="dxa" w:w="2016"/>
            <w:vAlign w:val="center"/>
          </w:tcPr>
          <w:p>
            <w:r/>
            <w:r>
              <w:rPr>
                <w:b w:val="0"/>
                <w:sz w:val="17"/>
              </w:rPr>
              <w:t>Many scale steps become identical</w:t>
            </w:r>
          </w:p>
        </w:tc>
        <w:tc>
          <w:tcPr>
            <w:tcW w:type="dxa" w:w="2016"/>
            <w:vAlign w:val="center"/>
          </w:tcPr>
          <w:p>
            <w:r/>
            <w:r>
              <w:rPr>
                <w:b w:val="0"/>
                <w:sz w:val="17"/>
              </w:rPr>
              <w:t>Warning</w:t>
            </w:r>
          </w:p>
        </w:tc>
        <w:tc>
          <w:tcPr>
            <w:tcW w:type="dxa" w:w="2016"/>
            <w:vAlign w:val="center"/>
          </w:tcPr>
          <w:p>
            <w:r/>
            <w:r>
              <w:rPr>
                <w:b w:val="0"/>
                <w:sz w:val="17"/>
              </w:rPr>
              <w:t>Regenerate/adjust</w:t>
            </w:r>
          </w:p>
        </w:tc>
        <w:tc>
          <w:tcPr>
            <w:tcW w:type="dxa" w:w="2016"/>
            <w:vAlign w:val="center"/>
          </w:tcPr>
          <w:p>
            <w:r/>
            <w:r>
              <w:rPr>
                <w:b w:val="0"/>
                <w:sz w:val="17"/>
              </w:rPr>
              <w:t>Palette Engine</w:t>
            </w:r>
          </w:p>
        </w:tc>
      </w:tr>
      <w:tr>
        <w:tc>
          <w:tcPr>
            <w:tcW w:type="dxa" w:w="2016"/>
            <w:vAlign w:val="center"/>
          </w:tcPr>
          <w:p>
            <w:r/>
            <w:r>
              <w:rPr>
                <w:b w:val="0"/>
                <w:sz w:val="17"/>
              </w:rPr>
              <w:t>Gamut failure</w:t>
            </w:r>
          </w:p>
        </w:tc>
        <w:tc>
          <w:tcPr>
            <w:tcW w:type="dxa" w:w="2016"/>
            <w:vAlign w:val="center"/>
          </w:tcPr>
          <w:p>
            <w:r/>
            <w:r>
              <w:rPr>
                <w:b w:val="0"/>
                <w:sz w:val="17"/>
              </w:rPr>
              <w:t>Generated value outside target gamut</w:t>
            </w:r>
          </w:p>
        </w:tc>
        <w:tc>
          <w:tcPr>
            <w:tcW w:type="dxa" w:w="2016"/>
            <w:vAlign w:val="center"/>
          </w:tcPr>
          <w:p>
            <w:r/>
            <w:r>
              <w:rPr>
                <w:b w:val="0"/>
                <w:sz w:val="17"/>
              </w:rPr>
              <w:t>Warning/Error*</w:t>
            </w:r>
          </w:p>
        </w:tc>
        <w:tc>
          <w:tcPr>
            <w:tcW w:type="dxa" w:w="2016"/>
            <w:vAlign w:val="center"/>
          </w:tcPr>
          <w:p>
            <w:r/>
            <w:r>
              <w:rPr>
                <w:b w:val="0"/>
                <w:sz w:val="17"/>
              </w:rPr>
              <w:t>Map/reject</w:t>
            </w:r>
          </w:p>
        </w:tc>
        <w:tc>
          <w:tcPr>
            <w:tcW w:type="dxa" w:w="2016"/>
            <w:vAlign w:val="center"/>
          </w:tcPr>
          <w:p>
            <w:r/>
            <w:r>
              <w:rPr>
                <w:b w:val="0"/>
                <w:sz w:val="17"/>
              </w:rPr>
              <w:t>Palette Engine</w:t>
            </w:r>
          </w:p>
        </w:tc>
      </w:tr>
    </w:tbl>
    <w:p>
      <w:r>
        <w:t>* Severity should be finalized by the design-system governance team after testing against the actual component library.</w:t>
      </w:r>
    </w:p>
    <w:p>
      <w:pPr>
        <w:pStyle w:val="Heading1"/>
      </w:pPr>
      <w:r>
        <w:t>8. Palette Generation Strategy</w:t>
      </w:r>
    </w:p>
    <w:p>
      <w:r>
        <w:t>Do not generate shades by simply adding or subtracting fixed RGB values. RGB is not perceptually uniform. Use a perceptual color space such as OKLCH/OKLab or another validated color model, then map the generated colors into the target display gamut.</w:t>
      </w:r>
    </w:p>
    <w:p>
      <w:r>
        <w:t>Color.js supports OKLCH, Lab/LCh and multiple Delta-E algorithms, as well as gamut mapping. It is therefore a strong candidate for the browser-side color engine.</w:t>
      </w:r>
    </w:p>
    <w:tbl>
      <w:tblPr>
        <w:tblW w:type="auto" w:w="0"/>
        <w:jc w:val="center"/>
        <w:tblLook w:firstColumn="1" w:firstRow="1" w:lastColumn="0" w:lastRow="0" w:noHBand="0" w:noVBand="1" w:val="04A0"/>
      </w:tblPr>
      <w:tblGrid>
        <w:gridCol w:w="10080"/>
      </w:tblGrid>
      <w:tr>
        <w:tc>
          <w:tcPr>
            <w:tcW w:type="dxa" w:w="10080"/>
            <w:shd w:fill="F3F4F6"/>
          </w:tcPr>
          <w:p>
            <w:pPr>
              <w:spacing w:after="0"/>
            </w:pPr>
            <w:r>
              <w:rPr>
                <w:rFonts w:ascii="Consolas" w:hAnsi="Consolas"/>
                <w:sz w:val="16"/>
              </w:rPr>
              <w:t>Input: #2563EB</w:t>
              <w:br/>
            </w:r>
            <w:r>
              <w:rPr>
                <w:rFonts w:ascii="Consolas" w:hAnsi="Consolas"/>
                <w:sz w:val="16"/>
              </w:rPr>
              <w:br/>
            </w:r>
            <w:r>
              <w:rPr>
                <w:rFonts w:ascii="Consolas" w:hAnsi="Consolas"/>
                <w:sz w:val="16"/>
              </w:rPr>
              <w:t>Convert -&gt; OKLCH</w:t>
              <w:br/>
            </w:r>
            <w:r>
              <w:rPr>
                <w:rFonts w:ascii="Consolas" w:hAnsi="Consolas"/>
                <w:sz w:val="16"/>
              </w:rPr>
              <w:t>Adjust lightness/chroma according to the token recipe</w:t>
              <w:br/>
            </w:r>
            <w:r>
              <w:rPr>
                <w:rFonts w:ascii="Consolas" w:hAnsi="Consolas"/>
                <w:sz w:val="16"/>
              </w:rPr>
              <w:t>Preserve hue where appropriate</w:t>
              <w:br/>
            </w:r>
            <w:r>
              <w:rPr>
                <w:rFonts w:ascii="Consolas" w:hAnsi="Consolas"/>
                <w:sz w:val="16"/>
              </w:rPr>
              <w:t>Gamut-map to sRGB</w:t>
              <w:br/>
            </w:r>
            <w:r>
              <w:rPr>
                <w:rFonts w:ascii="Consolas" w:hAnsi="Consolas"/>
                <w:sz w:val="16"/>
              </w:rPr>
              <w:t>Convert -&gt; CSS HEX/rgb()</w:t>
              <w:br/>
            </w:r>
            <w:r>
              <w:rPr>
                <w:rFonts w:ascii="Consolas" w:hAnsi="Consolas"/>
                <w:sz w:val="16"/>
              </w:rPr>
              <w:t>Output:</w:t>
              <w:br/>
            </w:r>
            <w:r>
              <w:rPr>
                <w:rFonts w:ascii="Consolas" w:hAnsi="Consolas"/>
                <w:sz w:val="16"/>
              </w:rPr>
              <w:t>primary-50 ... primary-900</w:t>
            </w:r>
          </w:p>
        </w:tc>
      </w:tr>
    </w:tbl>
    <w:p>
      <w:pPr>
        <w:spacing w:after="20"/>
      </w:pPr>
    </w:p>
    <w:p>
      <w:r>
        <w:t>The exact lightness/chroma recipe should be treated as a product design-system asset. It should be versioned, tested against the existing SportsPlus themes, and not changed silently because changing the recipe can alter all generated customer themes.</w:t>
      </w:r>
    </w:p>
    <w:p>
      <w:pPr>
        <w:pStyle w:val="Heading1"/>
      </w:pPr>
      <w:r>
        <w:t>9. Recommended Token Scale</w:t>
      </w:r>
    </w:p>
    <w:tbl>
      <w:tblPr>
        <w:tblW w:type="auto" w:w="0"/>
        <w:tblLook w:firstColumn="1" w:firstRow="1" w:lastColumn="0" w:lastRow="0" w:noHBand="0" w:noVBand="1" w:val="04A0"/>
      </w:tblPr>
      <w:tblGrid>
        <w:gridCol w:w="2520"/>
        <w:gridCol w:w="2520"/>
        <w:gridCol w:w="2520"/>
        <w:gridCol w:w="2520"/>
      </w:tblGrid>
      <w:tr>
        <w:tc>
          <w:tcPr>
            <w:tcW w:type="dxa" w:w="2520"/>
            <w:vAlign w:val="center"/>
            <w:shd w:fill="D9E2F3"/>
          </w:tcPr>
          <w:p>
            <w:r/>
            <w:r>
              <w:rPr>
                <w:b/>
                <w:sz w:val="17"/>
              </w:rPr>
              <w:t>Token</w:t>
            </w:r>
          </w:p>
        </w:tc>
        <w:tc>
          <w:tcPr>
            <w:tcW w:type="dxa" w:w="2520"/>
            <w:vAlign w:val="center"/>
            <w:shd w:fill="D9E2F3"/>
          </w:tcPr>
          <w:p>
            <w:r/>
            <w:r>
              <w:rPr>
                <w:b/>
                <w:sz w:val="17"/>
              </w:rPr>
              <w:t>Typical role</w:t>
            </w:r>
          </w:p>
        </w:tc>
        <w:tc>
          <w:tcPr>
            <w:tcW w:type="dxa" w:w="2520"/>
            <w:vAlign w:val="center"/>
            <w:shd w:fill="D9E2F3"/>
          </w:tcPr>
          <w:p>
            <w:r/>
            <w:r>
              <w:rPr>
                <w:b/>
                <w:sz w:val="17"/>
              </w:rPr>
              <w:t>Direction</w:t>
            </w:r>
          </w:p>
        </w:tc>
        <w:tc>
          <w:tcPr>
            <w:tcW w:type="dxa" w:w="2520"/>
            <w:vAlign w:val="center"/>
            <w:shd w:fill="D9E2F3"/>
          </w:tcPr>
          <w:p>
            <w:r/>
            <w:r>
              <w:rPr>
                <w:b/>
                <w:sz w:val="17"/>
              </w:rPr>
              <w:t>Validation focus</w:t>
            </w:r>
          </w:p>
        </w:tc>
      </w:tr>
      <w:tr>
        <w:tc>
          <w:tcPr>
            <w:tcW w:type="dxa" w:w="2520"/>
            <w:vAlign w:val="center"/>
          </w:tcPr>
          <w:p>
            <w:r/>
            <w:r>
              <w:rPr>
                <w:b w:val="0"/>
                <w:sz w:val="17"/>
              </w:rPr>
              <w:t>50–100</w:t>
            </w:r>
          </w:p>
        </w:tc>
        <w:tc>
          <w:tcPr>
            <w:tcW w:type="dxa" w:w="2520"/>
            <w:vAlign w:val="center"/>
          </w:tcPr>
          <w:p>
            <w:r/>
            <w:r>
              <w:rPr>
                <w:b w:val="0"/>
                <w:sz w:val="17"/>
              </w:rPr>
              <w:t>Very light backgrounds/tints</w:t>
            </w:r>
          </w:p>
        </w:tc>
        <w:tc>
          <w:tcPr>
            <w:tcW w:type="dxa" w:w="2520"/>
            <w:vAlign w:val="center"/>
          </w:tcPr>
          <w:p>
            <w:r/>
            <w:r>
              <w:rPr>
                <w:b w:val="0"/>
                <w:sz w:val="17"/>
              </w:rPr>
              <w:t>Light</w:t>
            </w:r>
          </w:p>
        </w:tc>
        <w:tc>
          <w:tcPr>
            <w:tcW w:type="dxa" w:w="2520"/>
            <w:vAlign w:val="center"/>
          </w:tcPr>
          <w:p>
            <w:r/>
            <w:r>
              <w:rPr>
                <w:b w:val="0"/>
                <w:sz w:val="17"/>
              </w:rPr>
              <w:t>Surface usability</w:t>
            </w:r>
          </w:p>
        </w:tc>
      </w:tr>
      <w:tr>
        <w:tc>
          <w:tcPr>
            <w:tcW w:type="dxa" w:w="2520"/>
            <w:vAlign w:val="center"/>
          </w:tcPr>
          <w:p>
            <w:r/>
            <w:r>
              <w:rPr>
                <w:b w:val="0"/>
                <w:sz w:val="17"/>
              </w:rPr>
              <w:t>200–300</w:t>
            </w:r>
          </w:p>
        </w:tc>
        <w:tc>
          <w:tcPr>
            <w:tcW w:type="dxa" w:w="2520"/>
            <w:vAlign w:val="center"/>
          </w:tcPr>
          <w:p>
            <w:r/>
            <w:r>
              <w:rPr>
                <w:b w:val="0"/>
                <w:sz w:val="17"/>
              </w:rPr>
              <w:t>Subtle fills/borders</w:t>
            </w:r>
          </w:p>
        </w:tc>
        <w:tc>
          <w:tcPr>
            <w:tcW w:type="dxa" w:w="2520"/>
            <w:vAlign w:val="center"/>
          </w:tcPr>
          <w:p>
            <w:r/>
            <w:r>
              <w:rPr>
                <w:b w:val="0"/>
                <w:sz w:val="17"/>
              </w:rPr>
              <w:t>Light</w:t>
            </w:r>
          </w:p>
        </w:tc>
        <w:tc>
          <w:tcPr>
            <w:tcW w:type="dxa" w:w="2520"/>
            <w:vAlign w:val="center"/>
          </w:tcPr>
          <w:p>
            <w:r/>
            <w:r>
              <w:rPr>
                <w:b w:val="0"/>
                <w:sz w:val="17"/>
              </w:rPr>
              <w:t>Border/state distinction</w:t>
            </w:r>
          </w:p>
        </w:tc>
      </w:tr>
      <w:tr>
        <w:tc>
          <w:tcPr>
            <w:tcW w:type="dxa" w:w="2520"/>
            <w:vAlign w:val="center"/>
          </w:tcPr>
          <w:p>
            <w:r/>
            <w:r>
              <w:rPr>
                <w:b w:val="0"/>
                <w:sz w:val="17"/>
              </w:rPr>
              <w:t>400</w:t>
            </w:r>
          </w:p>
        </w:tc>
        <w:tc>
          <w:tcPr>
            <w:tcW w:type="dxa" w:w="2520"/>
            <w:vAlign w:val="center"/>
          </w:tcPr>
          <w:p>
            <w:r/>
            <w:r>
              <w:rPr>
                <w:b w:val="0"/>
                <w:sz w:val="17"/>
              </w:rPr>
              <w:t>Intermediate UI</w:t>
            </w:r>
          </w:p>
        </w:tc>
        <w:tc>
          <w:tcPr>
            <w:tcW w:type="dxa" w:w="2520"/>
            <w:vAlign w:val="center"/>
          </w:tcPr>
          <w:p>
            <w:r/>
            <w:r>
              <w:rPr>
                <w:b w:val="0"/>
                <w:sz w:val="17"/>
              </w:rPr>
              <w:t>Mid</w:t>
            </w:r>
          </w:p>
        </w:tc>
        <w:tc>
          <w:tcPr>
            <w:tcW w:type="dxa" w:w="2520"/>
            <w:vAlign w:val="center"/>
          </w:tcPr>
          <w:p>
            <w:r/>
            <w:r>
              <w:rPr>
                <w:b w:val="0"/>
                <w:sz w:val="17"/>
              </w:rPr>
              <w:t>Component distinction</w:t>
            </w:r>
          </w:p>
        </w:tc>
      </w:tr>
      <w:tr>
        <w:tc>
          <w:tcPr>
            <w:tcW w:type="dxa" w:w="2520"/>
            <w:vAlign w:val="center"/>
          </w:tcPr>
          <w:p>
            <w:r/>
            <w:r>
              <w:rPr>
                <w:b w:val="0"/>
                <w:sz w:val="17"/>
              </w:rPr>
              <w:t>500</w:t>
            </w:r>
          </w:p>
        </w:tc>
        <w:tc>
          <w:tcPr>
            <w:tcW w:type="dxa" w:w="2520"/>
            <w:vAlign w:val="center"/>
          </w:tcPr>
          <w:p>
            <w:r/>
            <w:r>
              <w:rPr>
                <w:b w:val="0"/>
                <w:sz w:val="17"/>
              </w:rPr>
              <w:t>Brand/base</w:t>
            </w:r>
          </w:p>
        </w:tc>
        <w:tc>
          <w:tcPr>
            <w:tcW w:type="dxa" w:w="2520"/>
            <w:vAlign w:val="center"/>
          </w:tcPr>
          <w:p>
            <w:r/>
            <w:r>
              <w:rPr>
                <w:b w:val="0"/>
                <w:sz w:val="17"/>
              </w:rPr>
              <w:t>Base</w:t>
            </w:r>
          </w:p>
        </w:tc>
        <w:tc>
          <w:tcPr>
            <w:tcW w:type="dxa" w:w="2520"/>
            <w:vAlign w:val="center"/>
          </w:tcPr>
          <w:p>
            <w:r/>
            <w:r>
              <w:rPr>
                <w:b w:val="0"/>
                <w:sz w:val="17"/>
              </w:rPr>
              <w:t>Brand and action usage</w:t>
            </w:r>
          </w:p>
        </w:tc>
      </w:tr>
      <w:tr>
        <w:tc>
          <w:tcPr>
            <w:tcW w:type="dxa" w:w="2520"/>
            <w:vAlign w:val="center"/>
          </w:tcPr>
          <w:p>
            <w:r/>
            <w:r>
              <w:rPr>
                <w:b w:val="0"/>
                <w:sz w:val="17"/>
              </w:rPr>
              <w:t>600–700</w:t>
            </w:r>
          </w:p>
        </w:tc>
        <w:tc>
          <w:tcPr>
            <w:tcW w:type="dxa" w:w="2520"/>
            <w:vAlign w:val="center"/>
          </w:tcPr>
          <w:p>
            <w:r/>
            <w:r>
              <w:rPr>
                <w:b w:val="0"/>
                <w:sz w:val="17"/>
              </w:rPr>
              <w:t>Buttons/links/emphasis</w:t>
            </w:r>
          </w:p>
        </w:tc>
        <w:tc>
          <w:tcPr>
            <w:tcW w:type="dxa" w:w="2520"/>
            <w:vAlign w:val="center"/>
          </w:tcPr>
          <w:p>
            <w:r/>
            <w:r>
              <w:rPr>
                <w:b w:val="0"/>
                <w:sz w:val="17"/>
              </w:rPr>
              <w:t>Dark</w:t>
            </w:r>
          </w:p>
        </w:tc>
        <w:tc>
          <w:tcPr>
            <w:tcW w:type="dxa" w:w="2520"/>
            <w:vAlign w:val="center"/>
          </w:tcPr>
          <w:p>
            <w:r/>
            <w:r>
              <w:rPr>
                <w:b w:val="0"/>
                <w:sz w:val="17"/>
              </w:rPr>
              <w:t>Text contrast</w:t>
            </w:r>
          </w:p>
        </w:tc>
      </w:tr>
      <w:tr>
        <w:tc>
          <w:tcPr>
            <w:tcW w:type="dxa" w:w="2520"/>
            <w:vAlign w:val="center"/>
          </w:tcPr>
          <w:p>
            <w:r/>
            <w:r>
              <w:rPr>
                <w:b w:val="0"/>
                <w:sz w:val="17"/>
              </w:rPr>
              <w:t>800–900</w:t>
            </w:r>
          </w:p>
        </w:tc>
        <w:tc>
          <w:tcPr>
            <w:tcW w:type="dxa" w:w="2520"/>
            <w:vAlign w:val="center"/>
          </w:tcPr>
          <w:p>
            <w:r/>
            <w:r>
              <w:rPr>
                <w:b w:val="0"/>
                <w:sz w:val="17"/>
              </w:rPr>
              <w:t>Strong text/deep emphasis</w:t>
            </w:r>
          </w:p>
        </w:tc>
        <w:tc>
          <w:tcPr>
            <w:tcW w:type="dxa" w:w="2520"/>
            <w:vAlign w:val="center"/>
          </w:tcPr>
          <w:p>
            <w:r/>
            <w:r>
              <w:rPr>
                <w:b w:val="0"/>
                <w:sz w:val="17"/>
              </w:rPr>
              <w:t>Very dark</w:t>
            </w:r>
          </w:p>
        </w:tc>
        <w:tc>
          <w:tcPr>
            <w:tcW w:type="dxa" w:w="2520"/>
            <w:vAlign w:val="center"/>
          </w:tcPr>
          <w:p>
            <w:r/>
            <w:r>
              <w:rPr>
                <w:b w:val="0"/>
                <w:sz w:val="17"/>
              </w:rPr>
              <w:t>Text contrast</w:t>
            </w:r>
          </w:p>
        </w:tc>
      </w:tr>
    </w:tbl>
    <w:p>
      <w:pPr>
        <w:pStyle w:val="Heading1"/>
      </w:pPr>
      <w:r>
        <w:t>10. Contrast Validation</w:t>
      </w:r>
    </w:p>
    <w:p>
      <w:r>
        <w:t>Use WCAG 2.2 AA as the baseline. For normal text, the minimum contrast ratio is 4.5:1. Large-scale text has a 3:1 minimum under WCAG 2.2 Success Criterion 1.4.3. The computed ratio must meet the threshold without rounding up; for example, 4.499:1 does not meet 4.5:1.</w:t>
      </w:r>
    </w:p>
    <w:tbl>
      <w:tblPr>
        <w:tblW w:type="auto" w:w="0"/>
        <w:jc w:val="center"/>
        <w:tblLook w:firstColumn="1" w:firstRow="1" w:lastColumn="0" w:lastRow="0" w:noHBand="0" w:noVBand="1" w:val="04A0"/>
      </w:tblPr>
      <w:tblGrid>
        <w:gridCol w:w="10080"/>
      </w:tblGrid>
      <w:tr>
        <w:tc>
          <w:tcPr>
            <w:tcW w:type="dxa" w:w="10080"/>
            <w:shd w:fill="F3F4F6"/>
          </w:tcPr>
          <w:p>
            <w:pPr>
              <w:spacing w:after="0"/>
            </w:pPr>
            <w:r>
              <w:rPr>
                <w:rFonts w:ascii="Consolas" w:hAnsi="Consolas"/>
                <w:sz w:val="16"/>
              </w:rPr>
              <w:t>L1 = lighter relative luminance</w:t>
              <w:br/>
            </w:r>
            <w:r>
              <w:rPr>
                <w:rFonts w:ascii="Consolas" w:hAnsi="Consolas"/>
                <w:sz w:val="16"/>
              </w:rPr>
              <w:t>L2 = darker relative luminance</w:t>
              <w:br/>
            </w:r>
            <w:r>
              <w:rPr>
                <w:rFonts w:ascii="Consolas" w:hAnsi="Consolas"/>
                <w:sz w:val="16"/>
              </w:rPr>
              <w:br/>
            </w:r>
            <w:r>
              <w:rPr>
                <w:rFonts w:ascii="Consolas" w:hAnsi="Consolas"/>
                <w:sz w:val="16"/>
              </w:rPr>
              <w:t>Contrast Ratio = (L1 + 0.05) / (L2 + 0.05)</w:t>
              <w:br/>
            </w:r>
            <w:r>
              <w:rPr>
                <w:rFonts w:ascii="Consolas" w:hAnsi="Consolas"/>
                <w:sz w:val="16"/>
              </w:rPr>
              <w:br/>
            </w:r>
            <w:r>
              <w:rPr>
                <w:rFonts w:ascii="Consolas" w:hAnsi="Consolas"/>
                <w:sz w:val="16"/>
              </w:rPr>
              <w:t>Normal text:  &gt;= 4.5:1</w:t>
              <w:br/>
            </w:r>
            <w:r>
              <w:rPr>
                <w:rFonts w:ascii="Consolas" w:hAnsi="Consolas"/>
                <w:sz w:val="16"/>
              </w:rPr>
              <w:t>Large text:   &gt;= 3.0:1</w:t>
              <w:br/>
            </w:r>
            <w:r>
              <w:rPr>
                <w:rFonts w:ascii="Consolas" w:hAnsi="Consolas"/>
                <w:sz w:val="16"/>
              </w:rPr>
              <w:t>AAA target:   &gt;= 7.0:1 (where applicable)</w:t>
            </w:r>
          </w:p>
        </w:tc>
      </w:tr>
    </w:tbl>
    <w:p>
      <w:pPr>
        <w:spacing w:after="20"/>
      </w:pPr>
    </w:p>
    <w:p>
      <w:pPr>
        <w:pStyle w:val="Heading2"/>
      </w:pPr>
      <w:r>
        <w:t>10.1 Contrast rule matrix</w:t>
      </w:r>
    </w:p>
    <w:tbl>
      <w:tblPr>
        <w:tblW w:type="auto" w:w="0"/>
        <w:tblLook w:firstColumn="1" w:firstRow="1" w:lastColumn="0" w:lastRow="0" w:noHBand="0" w:noVBand="1" w:val="04A0"/>
      </w:tblPr>
      <w:tblGrid>
        <w:gridCol w:w="2520"/>
        <w:gridCol w:w="2520"/>
        <w:gridCol w:w="2520"/>
        <w:gridCol w:w="2520"/>
      </w:tblGrid>
      <w:tr>
        <w:tc>
          <w:tcPr>
            <w:tcW w:type="dxa" w:w="2520"/>
            <w:vAlign w:val="center"/>
            <w:shd w:fill="D9E2F3"/>
          </w:tcPr>
          <w:p>
            <w:r/>
            <w:r>
              <w:rPr>
                <w:b/>
                <w:sz w:val="17"/>
              </w:rPr>
              <w:t>Semantic role</w:t>
            </w:r>
          </w:p>
        </w:tc>
        <w:tc>
          <w:tcPr>
            <w:tcW w:type="dxa" w:w="2520"/>
            <w:vAlign w:val="center"/>
            <w:shd w:fill="D9E2F3"/>
          </w:tcPr>
          <w:p>
            <w:r/>
            <w:r>
              <w:rPr>
                <w:b/>
                <w:sz w:val="17"/>
              </w:rPr>
              <w:t>Foreground</w:t>
            </w:r>
          </w:p>
        </w:tc>
        <w:tc>
          <w:tcPr>
            <w:tcW w:type="dxa" w:w="2520"/>
            <w:vAlign w:val="center"/>
            <w:shd w:fill="D9E2F3"/>
          </w:tcPr>
          <w:p>
            <w:r/>
            <w:r>
              <w:rPr>
                <w:b/>
                <w:sz w:val="17"/>
              </w:rPr>
              <w:t>Background</w:t>
            </w:r>
          </w:p>
        </w:tc>
        <w:tc>
          <w:tcPr>
            <w:tcW w:type="dxa" w:w="2520"/>
            <w:vAlign w:val="center"/>
            <w:shd w:fill="D9E2F3"/>
          </w:tcPr>
          <w:p>
            <w:r/>
            <w:r>
              <w:rPr>
                <w:b/>
                <w:sz w:val="17"/>
              </w:rPr>
              <w:t>Minimum</w:t>
            </w:r>
          </w:p>
        </w:tc>
      </w:tr>
      <w:tr>
        <w:tc>
          <w:tcPr>
            <w:tcW w:type="dxa" w:w="2520"/>
            <w:vAlign w:val="center"/>
          </w:tcPr>
          <w:p>
            <w:r/>
            <w:r>
              <w:rPr>
                <w:b w:val="0"/>
                <w:sz w:val="17"/>
              </w:rPr>
              <w:t>Body text</w:t>
            </w:r>
          </w:p>
        </w:tc>
        <w:tc>
          <w:tcPr>
            <w:tcW w:type="dxa" w:w="2520"/>
            <w:vAlign w:val="center"/>
          </w:tcPr>
          <w:p>
            <w:r/>
            <w:r>
              <w:rPr>
                <w:b w:val="0"/>
                <w:sz w:val="17"/>
              </w:rPr>
              <w:t>text-primary</w:t>
            </w:r>
          </w:p>
        </w:tc>
        <w:tc>
          <w:tcPr>
            <w:tcW w:type="dxa" w:w="2520"/>
            <w:vAlign w:val="center"/>
          </w:tcPr>
          <w:p>
            <w:r/>
            <w:r>
              <w:rPr>
                <w:b w:val="0"/>
                <w:sz w:val="17"/>
              </w:rPr>
              <w:t>background-primary</w:t>
            </w:r>
          </w:p>
        </w:tc>
        <w:tc>
          <w:tcPr>
            <w:tcW w:type="dxa" w:w="2520"/>
            <w:vAlign w:val="center"/>
          </w:tcPr>
          <w:p>
            <w:r/>
            <w:r>
              <w:rPr>
                <w:b w:val="0"/>
                <w:sz w:val="17"/>
              </w:rPr>
              <w:t>4.5:1</w:t>
            </w:r>
          </w:p>
        </w:tc>
      </w:tr>
      <w:tr>
        <w:tc>
          <w:tcPr>
            <w:tcW w:type="dxa" w:w="2520"/>
            <w:vAlign w:val="center"/>
          </w:tcPr>
          <w:p>
            <w:r/>
            <w:r>
              <w:rPr>
                <w:b w:val="0"/>
                <w:sz w:val="17"/>
              </w:rPr>
              <w:t>Secondary text</w:t>
            </w:r>
          </w:p>
        </w:tc>
        <w:tc>
          <w:tcPr>
            <w:tcW w:type="dxa" w:w="2520"/>
            <w:vAlign w:val="center"/>
          </w:tcPr>
          <w:p>
            <w:r/>
            <w:r>
              <w:rPr>
                <w:b w:val="0"/>
                <w:sz w:val="17"/>
              </w:rPr>
              <w:t>text-secondary</w:t>
            </w:r>
          </w:p>
        </w:tc>
        <w:tc>
          <w:tcPr>
            <w:tcW w:type="dxa" w:w="2520"/>
            <w:vAlign w:val="center"/>
          </w:tcPr>
          <w:p>
            <w:r/>
            <w:r>
              <w:rPr>
                <w:b w:val="0"/>
                <w:sz w:val="17"/>
              </w:rPr>
              <w:t>background-primary</w:t>
            </w:r>
          </w:p>
        </w:tc>
        <w:tc>
          <w:tcPr>
            <w:tcW w:type="dxa" w:w="2520"/>
            <w:vAlign w:val="center"/>
          </w:tcPr>
          <w:p>
            <w:r/>
            <w:r>
              <w:rPr>
                <w:b w:val="0"/>
                <w:sz w:val="17"/>
              </w:rPr>
              <w:t>4.5:1</w:t>
            </w:r>
          </w:p>
        </w:tc>
      </w:tr>
      <w:tr>
        <w:tc>
          <w:tcPr>
            <w:tcW w:type="dxa" w:w="2520"/>
            <w:vAlign w:val="center"/>
          </w:tcPr>
          <w:p>
            <w:r/>
            <w:r>
              <w:rPr>
                <w:b w:val="0"/>
                <w:sz w:val="17"/>
              </w:rPr>
              <w:t>Primary button</w:t>
            </w:r>
          </w:p>
        </w:tc>
        <w:tc>
          <w:tcPr>
            <w:tcW w:type="dxa" w:w="2520"/>
            <w:vAlign w:val="center"/>
          </w:tcPr>
          <w:p>
            <w:r/>
            <w:r>
              <w:rPr>
                <w:b w:val="0"/>
                <w:sz w:val="17"/>
              </w:rPr>
              <w:t>button-primary-text</w:t>
            </w:r>
          </w:p>
        </w:tc>
        <w:tc>
          <w:tcPr>
            <w:tcW w:type="dxa" w:w="2520"/>
            <w:vAlign w:val="center"/>
          </w:tcPr>
          <w:p>
            <w:r/>
            <w:r>
              <w:rPr>
                <w:b w:val="0"/>
                <w:sz w:val="17"/>
              </w:rPr>
              <w:t>button-primary-background</w:t>
            </w:r>
          </w:p>
        </w:tc>
        <w:tc>
          <w:tcPr>
            <w:tcW w:type="dxa" w:w="2520"/>
            <w:vAlign w:val="center"/>
          </w:tcPr>
          <w:p>
            <w:r/>
            <w:r>
              <w:rPr>
                <w:b w:val="0"/>
                <w:sz w:val="17"/>
              </w:rPr>
              <w:t>4.5:1</w:t>
            </w:r>
          </w:p>
        </w:tc>
      </w:tr>
      <w:tr>
        <w:tc>
          <w:tcPr>
            <w:tcW w:type="dxa" w:w="2520"/>
            <w:vAlign w:val="center"/>
          </w:tcPr>
          <w:p>
            <w:r/>
            <w:r>
              <w:rPr>
                <w:b w:val="0"/>
                <w:sz w:val="17"/>
              </w:rPr>
              <w:t>Large CTA text</w:t>
            </w:r>
          </w:p>
        </w:tc>
        <w:tc>
          <w:tcPr>
            <w:tcW w:type="dxa" w:w="2520"/>
            <w:vAlign w:val="center"/>
          </w:tcPr>
          <w:p>
            <w:r/>
            <w:r>
              <w:rPr>
                <w:b w:val="0"/>
                <w:sz w:val="17"/>
              </w:rPr>
              <w:t>CTA text</w:t>
            </w:r>
          </w:p>
        </w:tc>
        <w:tc>
          <w:tcPr>
            <w:tcW w:type="dxa" w:w="2520"/>
            <w:vAlign w:val="center"/>
          </w:tcPr>
          <w:p>
            <w:r/>
            <w:r>
              <w:rPr>
                <w:b w:val="0"/>
                <w:sz w:val="17"/>
              </w:rPr>
              <w:t>CTA background</w:t>
            </w:r>
          </w:p>
        </w:tc>
        <w:tc>
          <w:tcPr>
            <w:tcW w:type="dxa" w:w="2520"/>
            <w:vAlign w:val="center"/>
          </w:tcPr>
          <w:p>
            <w:r/>
            <w:r>
              <w:rPr>
                <w:b w:val="0"/>
                <w:sz w:val="17"/>
              </w:rPr>
              <w:t>3:1</w:t>
            </w:r>
          </w:p>
        </w:tc>
      </w:tr>
      <w:tr>
        <w:tc>
          <w:tcPr>
            <w:tcW w:type="dxa" w:w="2520"/>
            <w:vAlign w:val="center"/>
          </w:tcPr>
          <w:p>
            <w:r/>
            <w:r>
              <w:rPr>
                <w:b w:val="0"/>
                <w:sz w:val="17"/>
              </w:rPr>
              <w:t>Link</w:t>
            </w:r>
          </w:p>
        </w:tc>
        <w:tc>
          <w:tcPr>
            <w:tcW w:type="dxa" w:w="2520"/>
            <w:vAlign w:val="center"/>
          </w:tcPr>
          <w:p>
            <w:r/>
            <w:r>
              <w:rPr>
                <w:b w:val="0"/>
                <w:sz w:val="17"/>
              </w:rPr>
              <w:t>link-default</w:t>
            </w:r>
          </w:p>
        </w:tc>
        <w:tc>
          <w:tcPr>
            <w:tcW w:type="dxa" w:w="2520"/>
            <w:vAlign w:val="center"/>
          </w:tcPr>
          <w:p>
            <w:r/>
            <w:r>
              <w:rPr>
                <w:b w:val="0"/>
                <w:sz w:val="17"/>
              </w:rPr>
              <w:t>background-primary</w:t>
            </w:r>
          </w:p>
        </w:tc>
        <w:tc>
          <w:tcPr>
            <w:tcW w:type="dxa" w:w="2520"/>
            <w:vAlign w:val="center"/>
          </w:tcPr>
          <w:p>
            <w:r/>
            <w:r>
              <w:rPr>
                <w:b w:val="0"/>
                <w:sz w:val="17"/>
              </w:rPr>
              <w:t>4.5:1</w:t>
            </w:r>
          </w:p>
        </w:tc>
      </w:tr>
      <w:tr>
        <w:tc>
          <w:tcPr>
            <w:tcW w:type="dxa" w:w="2520"/>
            <w:vAlign w:val="center"/>
          </w:tcPr>
          <w:p>
            <w:r/>
            <w:r>
              <w:rPr>
                <w:b w:val="0"/>
                <w:sz w:val="17"/>
              </w:rPr>
              <w:t>Focus indicator</w:t>
            </w:r>
          </w:p>
        </w:tc>
        <w:tc>
          <w:tcPr>
            <w:tcW w:type="dxa" w:w="2520"/>
            <w:vAlign w:val="center"/>
          </w:tcPr>
          <w:p>
            <w:r/>
            <w:r>
              <w:rPr>
                <w:b w:val="0"/>
                <w:sz w:val="17"/>
              </w:rPr>
              <w:t>focus-ring</w:t>
            </w:r>
          </w:p>
        </w:tc>
        <w:tc>
          <w:tcPr>
            <w:tcW w:type="dxa" w:w="2520"/>
            <w:vAlign w:val="center"/>
          </w:tcPr>
          <w:p>
            <w:r/>
            <w:r>
              <w:rPr>
                <w:b w:val="0"/>
                <w:sz w:val="17"/>
              </w:rPr>
              <w:t>adjacent colors</w:t>
            </w:r>
          </w:p>
        </w:tc>
        <w:tc>
          <w:tcPr>
            <w:tcW w:type="dxa" w:w="2520"/>
            <w:vAlign w:val="center"/>
          </w:tcPr>
          <w:p>
            <w:r/>
            <w:r>
              <w:rPr>
                <w:b w:val="0"/>
                <w:sz w:val="17"/>
              </w:rPr>
              <w:t>Validate per applicable WCAG criteria</w:t>
            </w:r>
          </w:p>
        </w:tc>
      </w:tr>
      <w:tr>
        <w:tc>
          <w:tcPr>
            <w:tcW w:type="dxa" w:w="2520"/>
            <w:vAlign w:val="center"/>
          </w:tcPr>
          <w:p>
            <w:r/>
            <w:r>
              <w:rPr>
                <w:b w:val="0"/>
                <w:sz w:val="17"/>
              </w:rPr>
              <w:t>UI boundary</w:t>
            </w:r>
          </w:p>
        </w:tc>
        <w:tc>
          <w:tcPr>
            <w:tcW w:type="dxa" w:w="2520"/>
            <w:vAlign w:val="center"/>
          </w:tcPr>
          <w:p>
            <w:r/>
            <w:r>
              <w:rPr>
                <w:b w:val="0"/>
                <w:sz w:val="17"/>
              </w:rPr>
              <w:t>border</w:t>
            </w:r>
          </w:p>
        </w:tc>
        <w:tc>
          <w:tcPr>
            <w:tcW w:type="dxa" w:w="2520"/>
            <w:vAlign w:val="center"/>
          </w:tcPr>
          <w:p>
            <w:r/>
            <w:r>
              <w:rPr>
                <w:b w:val="0"/>
                <w:sz w:val="17"/>
              </w:rPr>
              <w:t>adjacent surface</w:t>
            </w:r>
          </w:p>
        </w:tc>
        <w:tc>
          <w:tcPr>
            <w:tcW w:type="dxa" w:w="2520"/>
            <w:vAlign w:val="center"/>
          </w:tcPr>
          <w:p>
            <w:r/>
            <w:r>
              <w:rPr>
                <w:b w:val="0"/>
                <w:sz w:val="17"/>
              </w:rPr>
              <w:t>3:1 where applicable</w:t>
            </w:r>
          </w:p>
        </w:tc>
      </w:tr>
    </w:tbl>
    <w:p>
      <w:pPr>
        <w:pStyle w:val="Heading1"/>
      </w:pPr>
      <w:r>
        <w:t>11. Color Similarity / Delta-E Validation</w:t>
      </w:r>
    </w:p>
    <w:p>
      <w:r>
        <w:t>Exact equality is not enough. Two different HEX values can appear almost identical. Use a perceptual color-difference calculation for Primary vs Secondary, Primary vs Neutral, Secondary vs Neutral, and selected generated-token pairs.</w:t>
      </w:r>
    </w:p>
    <w:p>
      <w:r>
        <w:t>Color.js provides DeltaE2000, DeltaE76, DeltaEOK and other methods. The engine should select one method and version the threshold policy. Do not treat a single Delta-E number as a universal accessibility rule; use it as a design-system distinction rule.</w:t>
      </w:r>
    </w:p>
    <w:tbl>
      <w:tblPr>
        <w:tblW w:type="auto" w:w="0"/>
        <w:tblLook w:firstColumn="1" w:firstRow="1" w:lastColumn="0" w:lastRow="0" w:noHBand="0" w:noVBand="1" w:val="04A0"/>
      </w:tblPr>
      <w:tblGrid>
        <w:gridCol w:w="2520"/>
        <w:gridCol w:w="2520"/>
        <w:gridCol w:w="2520"/>
        <w:gridCol w:w="2520"/>
      </w:tblGrid>
      <w:tr>
        <w:tc>
          <w:tcPr>
            <w:tcW w:type="dxa" w:w="2520"/>
            <w:vAlign w:val="center"/>
            <w:shd w:fill="D9E2F3"/>
          </w:tcPr>
          <w:p>
            <w:r/>
            <w:r>
              <w:rPr>
                <w:b/>
                <w:sz w:val="17"/>
              </w:rPr>
              <w:t>Comparison</w:t>
            </w:r>
          </w:p>
        </w:tc>
        <w:tc>
          <w:tcPr>
            <w:tcW w:type="dxa" w:w="2520"/>
            <w:vAlign w:val="center"/>
            <w:shd w:fill="D9E2F3"/>
          </w:tcPr>
          <w:p>
            <w:r/>
            <w:r>
              <w:rPr>
                <w:b/>
                <w:sz w:val="17"/>
              </w:rPr>
              <w:t>Suggested initial policy</w:t>
            </w:r>
          </w:p>
        </w:tc>
        <w:tc>
          <w:tcPr>
            <w:tcW w:type="dxa" w:w="2520"/>
            <w:vAlign w:val="center"/>
            <w:shd w:fill="D9E2F3"/>
          </w:tcPr>
          <w:p>
            <w:r/>
            <w:r>
              <w:rPr>
                <w:b/>
                <w:sz w:val="17"/>
              </w:rPr>
              <w:t>Severity</w:t>
            </w:r>
          </w:p>
        </w:tc>
        <w:tc>
          <w:tcPr>
            <w:tcW w:type="dxa" w:w="2520"/>
            <w:vAlign w:val="center"/>
            <w:shd w:fill="D9E2F3"/>
          </w:tcPr>
          <w:p>
            <w:r/>
            <w:r>
              <w:rPr>
                <w:b/>
                <w:sz w:val="17"/>
              </w:rPr>
              <w:t>Notes</w:t>
            </w:r>
          </w:p>
        </w:tc>
      </w:tr>
      <w:tr>
        <w:tc>
          <w:tcPr>
            <w:tcW w:type="dxa" w:w="2520"/>
            <w:vAlign w:val="center"/>
          </w:tcPr>
          <w:p>
            <w:r/>
            <w:r>
              <w:rPr>
                <w:b w:val="0"/>
                <w:sz w:val="17"/>
              </w:rPr>
              <w:t>Primary vs Secondary</w:t>
            </w:r>
          </w:p>
        </w:tc>
        <w:tc>
          <w:tcPr>
            <w:tcW w:type="dxa" w:w="2520"/>
            <w:vAlign w:val="center"/>
          </w:tcPr>
          <w:p>
            <w:r/>
            <w:r>
              <w:rPr>
                <w:b w:val="0"/>
                <w:sz w:val="17"/>
              </w:rPr>
              <w:t>Prototype threshold; tune empirically</w:t>
            </w:r>
          </w:p>
        </w:tc>
        <w:tc>
          <w:tcPr>
            <w:tcW w:type="dxa" w:w="2520"/>
            <w:vAlign w:val="center"/>
          </w:tcPr>
          <w:p>
            <w:r/>
            <w:r>
              <w:rPr>
                <w:b w:val="0"/>
                <w:sz w:val="17"/>
              </w:rPr>
              <w:t>Warning/Error</w:t>
            </w:r>
          </w:p>
        </w:tc>
        <w:tc>
          <w:tcPr>
            <w:tcW w:type="dxa" w:w="2520"/>
            <w:vAlign w:val="center"/>
          </w:tcPr>
          <w:p>
            <w:r/>
            <w:r>
              <w:rPr>
                <w:b w:val="0"/>
                <w:sz w:val="17"/>
              </w:rPr>
              <w:t>Should be visually distinguishable</w:t>
            </w:r>
          </w:p>
        </w:tc>
      </w:tr>
      <w:tr>
        <w:tc>
          <w:tcPr>
            <w:tcW w:type="dxa" w:w="2520"/>
            <w:vAlign w:val="center"/>
          </w:tcPr>
          <w:p>
            <w:r/>
            <w:r>
              <w:rPr>
                <w:b w:val="0"/>
                <w:sz w:val="17"/>
              </w:rPr>
              <w:t>Primary vs Neutral</w:t>
            </w:r>
          </w:p>
        </w:tc>
        <w:tc>
          <w:tcPr>
            <w:tcW w:type="dxa" w:w="2520"/>
            <w:vAlign w:val="center"/>
          </w:tcPr>
          <w:p>
            <w:r/>
            <w:r>
              <w:rPr>
                <w:b w:val="0"/>
                <w:sz w:val="17"/>
              </w:rPr>
              <w:t>Prototype threshold; tune empirically</w:t>
            </w:r>
          </w:p>
        </w:tc>
        <w:tc>
          <w:tcPr>
            <w:tcW w:type="dxa" w:w="2520"/>
            <w:vAlign w:val="center"/>
          </w:tcPr>
          <w:p>
            <w:r/>
            <w:r>
              <w:rPr>
                <w:b w:val="0"/>
                <w:sz w:val="17"/>
              </w:rPr>
              <w:t>Warning</w:t>
            </w:r>
          </w:p>
        </w:tc>
        <w:tc>
          <w:tcPr>
            <w:tcW w:type="dxa" w:w="2520"/>
            <w:vAlign w:val="center"/>
          </w:tcPr>
          <w:p>
            <w:r/>
            <w:r>
              <w:rPr>
                <w:b w:val="0"/>
                <w:sz w:val="17"/>
              </w:rPr>
              <w:t>Neutral may intentionally be close to a tint</w:t>
            </w:r>
          </w:p>
        </w:tc>
      </w:tr>
      <w:tr>
        <w:tc>
          <w:tcPr>
            <w:tcW w:type="dxa" w:w="2520"/>
            <w:vAlign w:val="center"/>
          </w:tcPr>
          <w:p>
            <w:r/>
            <w:r>
              <w:rPr>
                <w:b w:val="0"/>
                <w:sz w:val="17"/>
              </w:rPr>
              <w:t>Secondary vs Neutral</w:t>
            </w:r>
          </w:p>
        </w:tc>
        <w:tc>
          <w:tcPr>
            <w:tcW w:type="dxa" w:w="2520"/>
            <w:vAlign w:val="center"/>
          </w:tcPr>
          <w:p>
            <w:r/>
            <w:r>
              <w:rPr>
                <w:b w:val="0"/>
                <w:sz w:val="17"/>
              </w:rPr>
              <w:t>Prototype threshold; tune empirically</w:t>
            </w:r>
          </w:p>
        </w:tc>
        <w:tc>
          <w:tcPr>
            <w:tcW w:type="dxa" w:w="2520"/>
            <w:vAlign w:val="center"/>
          </w:tcPr>
          <w:p>
            <w:r/>
            <w:r>
              <w:rPr>
                <w:b w:val="0"/>
                <w:sz w:val="17"/>
              </w:rPr>
              <w:t>Warning</w:t>
            </w:r>
          </w:p>
        </w:tc>
        <w:tc>
          <w:tcPr>
            <w:tcW w:type="dxa" w:w="2520"/>
            <w:vAlign w:val="center"/>
          </w:tcPr>
          <w:p>
            <w:r/>
            <w:r>
              <w:rPr>
                <w:b w:val="0"/>
                <w:sz w:val="17"/>
              </w:rPr>
              <w:t>Role-aware</w:t>
            </w:r>
          </w:p>
        </w:tc>
      </w:tr>
      <w:tr>
        <w:tc>
          <w:tcPr>
            <w:tcW w:type="dxa" w:w="2520"/>
            <w:vAlign w:val="center"/>
          </w:tcPr>
          <w:p>
            <w:r/>
            <w:r>
              <w:rPr>
                <w:b w:val="0"/>
                <w:sz w:val="17"/>
              </w:rPr>
              <w:t>Default vs Hover</w:t>
            </w:r>
          </w:p>
        </w:tc>
        <w:tc>
          <w:tcPr>
            <w:tcW w:type="dxa" w:w="2520"/>
            <w:vAlign w:val="center"/>
          </w:tcPr>
          <w:p>
            <w:r/>
            <w:r>
              <w:rPr>
                <w:b w:val="0"/>
                <w:sz w:val="17"/>
              </w:rPr>
              <w:t>Must produce visible state change</w:t>
            </w:r>
          </w:p>
        </w:tc>
        <w:tc>
          <w:tcPr>
            <w:tcW w:type="dxa" w:w="2520"/>
            <w:vAlign w:val="center"/>
          </w:tcPr>
          <w:p>
            <w:r/>
            <w:r>
              <w:rPr>
                <w:b w:val="0"/>
                <w:sz w:val="17"/>
              </w:rPr>
              <w:t>Error/Warning</w:t>
            </w:r>
          </w:p>
        </w:tc>
        <w:tc>
          <w:tcPr>
            <w:tcW w:type="dxa" w:w="2520"/>
            <w:vAlign w:val="center"/>
          </w:tcPr>
          <w:p>
            <w:r/>
            <w:r>
              <w:rPr>
                <w:b w:val="0"/>
                <w:sz w:val="17"/>
              </w:rPr>
              <w:t>Prefer semantic state rules over raw Delta-E</w:t>
            </w:r>
          </w:p>
        </w:tc>
      </w:tr>
    </w:tbl>
    <w:p>
      <w:r>
        <w:t>Recommended implementation approach: start with empirical thresholds from your existing production themes, collect false positives/false negatives, and tune thresholds using component screenshots and design review rather than adopting arbitrary universal cutoffs.</w:t>
      </w:r>
    </w:p>
    <w:p>
      <w:pPr>
        <w:pStyle w:val="Heading1"/>
      </w:pPr>
      <w:r>
        <w:t>12. Semantic Token Rule Matrix</w:t>
      </w:r>
    </w:p>
    <w:tbl>
      <w:tblPr>
        <w:tblW w:type="auto" w:w="0"/>
        <w:tblLook w:firstColumn="1" w:firstRow="1" w:lastColumn="0" w:lastRow="0" w:noHBand="0" w:noVBand="1" w:val="04A0"/>
      </w:tblPr>
      <w:tblGrid>
        <w:gridCol w:w="1680"/>
        <w:gridCol w:w="1680"/>
        <w:gridCol w:w="1680"/>
        <w:gridCol w:w="1680"/>
        <w:gridCol w:w="1680"/>
        <w:gridCol w:w="1680"/>
      </w:tblGrid>
      <w:tr>
        <w:tc>
          <w:tcPr>
            <w:tcW w:type="dxa" w:w="1680"/>
            <w:vAlign w:val="center"/>
            <w:shd w:fill="D9E2F3"/>
          </w:tcPr>
          <w:p>
            <w:r/>
            <w:r>
              <w:rPr>
                <w:b/>
                <w:sz w:val="17"/>
              </w:rPr>
              <w:t>Component</w:t>
            </w:r>
          </w:p>
        </w:tc>
        <w:tc>
          <w:tcPr>
            <w:tcW w:type="dxa" w:w="1680"/>
            <w:vAlign w:val="center"/>
            <w:shd w:fill="D9E2F3"/>
          </w:tcPr>
          <w:p>
            <w:r/>
            <w:r>
              <w:rPr>
                <w:b/>
                <w:sz w:val="17"/>
              </w:rPr>
              <w:t>Token</w:t>
            </w:r>
          </w:p>
        </w:tc>
        <w:tc>
          <w:tcPr>
            <w:tcW w:type="dxa" w:w="1680"/>
            <w:vAlign w:val="center"/>
            <w:shd w:fill="D9E2F3"/>
          </w:tcPr>
          <w:p>
            <w:r/>
            <w:r>
              <w:rPr>
                <w:b/>
                <w:sz w:val="17"/>
              </w:rPr>
              <w:t>Background</w:t>
            </w:r>
          </w:p>
        </w:tc>
        <w:tc>
          <w:tcPr>
            <w:tcW w:type="dxa" w:w="1680"/>
            <w:vAlign w:val="center"/>
            <w:shd w:fill="D9E2F3"/>
          </w:tcPr>
          <w:p>
            <w:r/>
            <w:r>
              <w:rPr>
                <w:b/>
                <w:sz w:val="17"/>
              </w:rPr>
              <w:t>State</w:t>
            </w:r>
          </w:p>
        </w:tc>
        <w:tc>
          <w:tcPr>
            <w:tcW w:type="dxa" w:w="1680"/>
            <w:vAlign w:val="center"/>
            <w:shd w:fill="D9E2F3"/>
          </w:tcPr>
          <w:p>
            <w:r/>
            <w:r>
              <w:rPr>
                <w:b/>
                <w:sz w:val="17"/>
              </w:rPr>
              <w:t>Validation</w:t>
            </w:r>
          </w:p>
        </w:tc>
        <w:tc>
          <w:tcPr>
            <w:tcW w:type="dxa" w:w="1680"/>
            <w:vAlign w:val="center"/>
            <w:shd w:fill="D9E2F3"/>
          </w:tcPr>
          <w:p>
            <w:r/>
            <w:r>
              <w:rPr>
                <w:b/>
                <w:sz w:val="17"/>
              </w:rPr>
              <w:t>Severity</w:t>
            </w:r>
          </w:p>
        </w:tc>
      </w:tr>
      <w:tr>
        <w:tc>
          <w:tcPr>
            <w:tcW w:type="dxa" w:w="1680"/>
            <w:vAlign w:val="center"/>
          </w:tcPr>
          <w:p>
            <w:r/>
            <w:r>
              <w:rPr>
                <w:b w:val="0"/>
                <w:sz w:val="17"/>
              </w:rPr>
              <w:t>Primary button</w:t>
            </w:r>
          </w:p>
        </w:tc>
        <w:tc>
          <w:tcPr>
            <w:tcW w:type="dxa" w:w="1680"/>
            <w:vAlign w:val="center"/>
          </w:tcPr>
          <w:p>
            <w:r/>
            <w:r>
              <w:rPr>
                <w:b w:val="0"/>
                <w:sz w:val="17"/>
              </w:rPr>
              <w:t>button-primary-text</w:t>
            </w:r>
          </w:p>
        </w:tc>
        <w:tc>
          <w:tcPr>
            <w:tcW w:type="dxa" w:w="1680"/>
            <w:vAlign w:val="center"/>
          </w:tcPr>
          <w:p>
            <w:r/>
            <w:r>
              <w:rPr>
                <w:b w:val="0"/>
                <w:sz w:val="17"/>
              </w:rPr>
              <w:t>button-primary-background</w:t>
            </w:r>
          </w:p>
        </w:tc>
        <w:tc>
          <w:tcPr>
            <w:tcW w:type="dxa" w:w="1680"/>
            <w:vAlign w:val="center"/>
          </w:tcPr>
          <w:p>
            <w:r/>
            <w:r>
              <w:rPr>
                <w:b w:val="0"/>
                <w:sz w:val="17"/>
              </w:rPr>
              <w:t>default</w:t>
            </w:r>
          </w:p>
        </w:tc>
        <w:tc>
          <w:tcPr>
            <w:tcW w:type="dxa" w:w="1680"/>
            <w:vAlign w:val="center"/>
          </w:tcPr>
          <w:p>
            <w:r/>
            <w:r>
              <w:rPr>
                <w:b w:val="0"/>
                <w:sz w:val="17"/>
              </w:rPr>
              <w:t>Contrast + state distinction</w:t>
            </w:r>
          </w:p>
        </w:tc>
        <w:tc>
          <w:tcPr>
            <w:tcW w:type="dxa" w:w="1680"/>
            <w:vAlign w:val="center"/>
          </w:tcPr>
          <w:p>
            <w:r/>
            <w:r>
              <w:rPr>
                <w:b w:val="0"/>
                <w:sz w:val="17"/>
              </w:rPr>
              <w:t>Error</w:t>
            </w:r>
          </w:p>
        </w:tc>
      </w:tr>
      <w:tr>
        <w:tc>
          <w:tcPr>
            <w:tcW w:type="dxa" w:w="1680"/>
            <w:vAlign w:val="center"/>
          </w:tcPr>
          <w:p>
            <w:r/>
            <w:r>
              <w:rPr>
                <w:b w:val="0"/>
                <w:sz w:val="17"/>
              </w:rPr>
              <w:t>Primary button</w:t>
            </w:r>
          </w:p>
        </w:tc>
        <w:tc>
          <w:tcPr>
            <w:tcW w:type="dxa" w:w="1680"/>
            <w:vAlign w:val="center"/>
          </w:tcPr>
          <w:p>
            <w:r/>
            <w:r>
              <w:rPr>
                <w:b w:val="0"/>
                <w:sz w:val="17"/>
              </w:rPr>
              <w:t>button-primary-text</w:t>
            </w:r>
          </w:p>
        </w:tc>
        <w:tc>
          <w:tcPr>
            <w:tcW w:type="dxa" w:w="1680"/>
            <w:vAlign w:val="center"/>
          </w:tcPr>
          <w:p>
            <w:r/>
            <w:r>
              <w:rPr>
                <w:b w:val="0"/>
                <w:sz w:val="17"/>
              </w:rPr>
              <w:t>button-primary-hover</w:t>
            </w:r>
          </w:p>
        </w:tc>
        <w:tc>
          <w:tcPr>
            <w:tcW w:type="dxa" w:w="1680"/>
            <w:vAlign w:val="center"/>
          </w:tcPr>
          <w:p>
            <w:r/>
            <w:r>
              <w:rPr>
                <w:b w:val="0"/>
                <w:sz w:val="17"/>
              </w:rPr>
              <w:t>hover</w:t>
            </w:r>
          </w:p>
        </w:tc>
        <w:tc>
          <w:tcPr>
            <w:tcW w:type="dxa" w:w="1680"/>
            <w:vAlign w:val="center"/>
          </w:tcPr>
          <w:p>
            <w:r/>
            <w:r>
              <w:rPr>
                <w:b w:val="0"/>
                <w:sz w:val="17"/>
              </w:rPr>
              <w:t>Contrast + visible change</w:t>
            </w:r>
          </w:p>
        </w:tc>
        <w:tc>
          <w:tcPr>
            <w:tcW w:type="dxa" w:w="1680"/>
            <w:vAlign w:val="center"/>
          </w:tcPr>
          <w:p>
            <w:r/>
            <w:r>
              <w:rPr>
                <w:b w:val="0"/>
                <w:sz w:val="17"/>
              </w:rPr>
              <w:t>Error</w:t>
            </w:r>
          </w:p>
        </w:tc>
      </w:tr>
      <w:tr>
        <w:tc>
          <w:tcPr>
            <w:tcW w:type="dxa" w:w="1680"/>
            <w:vAlign w:val="center"/>
          </w:tcPr>
          <w:p>
            <w:r/>
            <w:r>
              <w:rPr>
                <w:b w:val="0"/>
                <w:sz w:val="17"/>
              </w:rPr>
              <w:t>Secondary button</w:t>
            </w:r>
          </w:p>
        </w:tc>
        <w:tc>
          <w:tcPr>
            <w:tcW w:type="dxa" w:w="1680"/>
            <w:vAlign w:val="center"/>
          </w:tcPr>
          <w:p>
            <w:r/>
            <w:r>
              <w:rPr>
                <w:b w:val="0"/>
                <w:sz w:val="17"/>
              </w:rPr>
              <w:t>button-secondary-text</w:t>
            </w:r>
          </w:p>
        </w:tc>
        <w:tc>
          <w:tcPr>
            <w:tcW w:type="dxa" w:w="1680"/>
            <w:vAlign w:val="center"/>
          </w:tcPr>
          <w:p>
            <w:r/>
            <w:r>
              <w:rPr>
                <w:b w:val="0"/>
                <w:sz w:val="17"/>
              </w:rPr>
              <w:t>button-secondary-background</w:t>
            </w:r>
          </w:p>
        </w:tc>
        <w:tc>
          <w:tcPr>
            <w:tcW w:type="dxa" w:w="1680"/>
            <w:vAlign w:val="center"/>
          </w:tcPr>
          <w:p>
            <w:r/>
            <w:r>
              <w:rPr>
                <w:b w:val="0"/>
                <w:sz w:val="17"/>
              </w:rPr>
              <w:t>default</w:t>
            </w:r>
          </w:p>
        </w:tc>
        <w:tc>
          <w:tcPr>
            <w:tcW w:type="dxa" w:w="1680"/>
            <w:vAlign w:val="center"/>
          </w:tcPr>
          <w:p>
            <w:r/>
            <w:r>
              <w:rPr>
                <w:b w:val="0"/>
                <w:sz w:val="17"/>
              </w:rPr>
              <w:t>Contrast + distinction</w:t>
            </w:r>
          </w:p>
        </w:tc>
        <w:tc>
          <w:tcPr>
            <w:tcW w:type="dxa" w:w="1680"/>
            <w:vAlign w:val="center"/>
          </w:tcPr>
          <w:p>
            <w:r/>
            <w:r>
              <w:rPr>
                <w:b w:val="0"/>
                <w:sz w:val="17"/>
              </w:rPr>
              <w:t>Error</w:t>
            </w:r>
          </w:p>
        </w:tc>
      </w:tr>
      <w:tr>
        <w:tc>
          <w:tcPr>
            <w:tcW w:type="dxa" w:w="1680"/>
            <w:vAlign w:val="center"/>
          </w:tcPr>
          <w:p>
            <w:r/>
            <w:r>
              <w:rPr>
                <w:b w:val="0"/>
                <w:sz w:val="17"/>
              </w:rPr>
              <w:t>Link</w:t>
            </w:r>
          </w:p>
        </w:tc>
        <w:tc>
          <w:tcPr>
            <w:tcW w:type="dxa" w:w="1680"/>
            <w:vAlign w:val="center"/>
          </w:tcPr>
          <w:p>
            <w:r/>
            <w:r>
              <w:rPr>
                <w:b w:val="0"/>
                <w:sz w:val="17"/>
              </w:rPr>
              <w:t>link-default</w:t>
            </w:r>
          </w:p>
        </w:tc>
        <w:tc>
          <w:tcPr>
            <w:tcW w:type="dxa" w:w="1680"/>
            <w:vAlign w:val="center"/>
          </w:tcPr>
          <w:p>
            <w:r/>
            <w:r>
              <w:rPr>
                <w:b w:val="0"/>
                <w:sz w:val="17"/>
              </w:rPr>
              <w:t>background-primary</w:t>
            </w:r>
          </w:p>
        </w:tc>
        <w:tc>
          <w:tcPr>
            <w:tcW w:type="dxa" w:w="1680"/>
            <w:vAlign w:val="center"/>
          </w:tcPr>
          <w:p>
            <w:r/>
            <w:r>
              <w:rPr>
                <w:b w:val="0"/>
                <w:sz w:val="17"/>
              </w:rPr>
              <w:t>default</w:t>
            </w:r>
          </w:p>
        </w:tc>
        <w:tc>
          <w:tcPr>
            <w:tcW w:type="dxa" w:w="1680"/>
            <w:vAlign w:val="center"/>
          </w:tcPr>
          <w:p>
            <w:r/>
            <w:r>
              <w:rPr>
                <w:b w:val="0"/>
                <w:sz w:val="17"/>
              </w:rPr>
              <w:t>Contrast</w:t>
            </w:r>
          </w:p>
        </w:tc>
        <w:tc>
          <w:tcPr>
            <w:tcW w:type="dxa" w:w="1680"/>
            <w:vAlign w:val="center"/>
          </w:tcPr>
          <w:p>
            <w:r/>
            <w:r>
              <w:rPr>
                <w:b w:val="0"/>
                <w:sz w:val="17"/>
              </w:rPr>
              <w:t>Error</w:t>
            </w:r>
          </w:p>
        </w:tc>
      </w:tr>
      <w:tr>
        <w:tc>
          <w:tcPr>
            <w:tcW w:type="dxa" w:w="1680"/>
            <w:vAlign w:val="center"/>
          </w:tcPr>
          <w:p>
            <w:r/>
            <w:r>
              <w:rPr>
                <w:b w:val="0"/>
                <w:sz w:val="17"/>
              </w:rPr>
              <w:t>Link</w:t>
            </w:r>
          </w:p>
        </w:tc>
        <w:tc>
          <w:tcPr>
            <w:tcW w:type="dxa" w:w="1680"/>
            <w:vAlign w:val="center"/>
          </w:tcPr>
          <w:p>
            <w:r/>
            <w:r>
              <w:rPr>
                <w:b w:val="0"/>
                <w:sz w:val="17"/>
              </w:rPr>
              <w:t>link-hover</w:t>
            </w:r>
          </w:p>
        </w:tc>
        <w:tc>
          <w:tcPr>
            <w:tcW w:type="dxa" w:w="1680"/>
            <w:vAlign w:val="center"/>
          </w:tcPr>
          <w:p>
            <w:r/>
            <w:r>
              <w:rPr>
                <w:b w:val="0"/>
                <w:sz w:val="17"/>
              </w:rPr>
              <w:t>background-primary</w:t>
            </w:r>
          </w:p>
        </w:tc>
        <w:tc>
          <w:tcPr>
            <w:tcW w:type="dxa" w:w="1680"/>
            <w:vAlign w:val="center"/>
          </w:tcPr>
          <w:p>
            <w:r/>
            <w:r>
              <w:rPr>
                <w:b w:val="0"/>
                <w:sz w:val="17"/>
              </w:rPr>
              <w:t>hover</w:t>
            </w:r>
          </w:p>
        </w:tc>
        <w:tc>
          <w:tcPr>
            <w:tcW w:type="dxa" w:w="1680"/>
            <w:vAlign w:val="center"/>
          </w:tcPr>
          <w:p>
            <w:r/>
            <w:r>
              <w:rPr>
                <w:b w:val="0"/>
                <w:sz w:val="17"/>
              </w:rPr>
              <w:t>Contrast + visible change</w:t>
            </w:r>
          </w:p>
        </w:tc>
        <w:tc>
          <w:tcPr>
            <w:tcW w:type="dxa" w:w="1680"/>
            <w:vAlign w:val="center"/>
          </w:tcPr>
          <w:p>
            <w:r/>
            <w:r>
              <w:rPr>
                <w:b w:val="0"/>
                <w:sz w:val="17"/>
              </w:rPr>
              <w:t>Error</w:t>
            </w:r>
          </w:p>
        </w:tc>
      </w:tr>
      <w:tr>
        <w:tc>
          <w:tcPr>
            <w:tcW w:type="dxa" w:w="1680"/>
            <w:vAlign w:val="center"/>
          </w:tcPr>
          <w:p>
            <w:r/>
            <w:r>
              <w:rPr>
                <w:b w:val="0"/>
                <w:sz w:val="17"/>
              </w:rPr>
              <w:t>Input</w:t>
            </w:r>
          </w:p>
        </w:tc>
        <w:tc>
          <w:tcPr>
            <w:tcW w:type="dxa" w:w="1680"/>
            <w:vAlign w:val="center"/>
          </w:tcPr>
          <w:p>
            <w:r/>
            <w:r>
              <w:rPr>
                <w:b w:val="0"/>
                <w:sz w:val="17"/>
              </w:rPr>
              <w:t>text-primary</w:t>
            </w:r>
          </w:p>
        </w:tc>
        <w:tc>
          <w:tcPr>
            <w:tcW w:type="dxa" w:w="1680"/>
            <w:vAlign w:val="center"/>
          </w:tcPr>
          <w:p>
            <w:r/>
            <w:r>
              <w:rPr>
                <w:b w:val="0"/>
                <w:sz w:val="17"/>
              </w:rPr>
              <w:t>surface-primary</w:t>
            </w:r>
          </w:p>
        </w:tc>
        <w:tc>
          <w:tcPr>
            <w:tcW w:type="dxa" w:w="1680"/>
            <w:vAlign w:val="center"/>
          </w:tcPr>
          <w:p>
            <w:r/>
            <w:r>
              <w:rPr>
                <w:b w:val="0"/>
                <w:sz w:val="17"/>
              </w:rPr>
              <w:t>default</w:t>
            </w:r>
          </w:p>
        </w:tc>
        <w:tc>
          <w:tcPr>
            <w:tcW w:type="dxa" w:w="1680"/>
            <w:vAlign w:val="center"/>
          </w:tcPr>
          <w:p>
            <w:r/>
            <w:r>
              <w:rPr>
                <w:b w:val="0"/>
                <w:sz w:val="17"/>
              </w:rPr>
              <w:t>Contrast</w:t>
            </w:r>
          </w:p>
        </w:tc>
        <w:tc>
          <w:tcPr>
            <w:tcW w:type="dxa" w:w="1680"/>
            <w:vAlign w:val="center"/>
          </w:tcPr>
          <w:p>
            <w:r/>
            <w:r>
              <w:rPr>
                <w:b w:val="0"/>
                <w:sz w:val="17"/>
              </w:rPr>
              <w:t>Error</w:t>
            </w:r>
          </w:p>
        </w:tc>
      </w:tr>
      <w:tr>
        <w:tc>
          <w:tcPr>
            <w:tcW w:type="dxa" w:w="1680"/>
            <w:vAlign w:val="center"/>
          </w:tcPr>
          <w:p>
            <w:r/>
            <w:r>
              <w:rPr>
                <w:b w:val="0"/>
                <w:sz w:val="17"/>
              </w:rPr>
              <w:t>Input</w:t>
            </w:r>
          </w:p>
        </w:tc>
        <w:tc>
          <w:tcPr>
            <w:tcW w:type="dxa" w:w="1680"/>
            <w:vAlign w:val="center"/>
          </w:tcPr>
          <w:p>
            <w:r/>
            <w:r>
              <w:rPr>
                <w:b w:val="0"/>
                <w:sz w:val="17"/>
              </w:rPr>
              <w:t>input-focus-border</w:t>
            </w:r>
          </w:p>
        </w:tc>
        <w:tc>
          <w:tcPr>
            <w:tcW w:type="dxa" w:w="1680"/>
            <w:vAlign w:val="center"/>
          </w:tcPr>
          <w:p>
            <w:r/>
            <w:r>
              <w:rPr>
                <w:b w:val="0"/>
                <w:sz w:val="17"/>
              </w:rPr>
              <w:t>surface-primary</w:t>
            </w:r>
          </w:p>
        </w:tc>
        <w:tc>
          <w:tcPr>
            <w:tcW w:type="dxa" w:w="1680"/>
            <w:vAlign w:val="center"/>
          </w:tcPr>
          <w:p>
            <w:r/>
            <w:r>
              <w:rPr>
                <w:b w:val="0"/>
                <w:sz w:val="17"/>
              </w:rPr>
              <w:t>focus</w:t>
            </w:r>
          </w:p>
        </w:tc>
        <w:tc>
          <w:tcPr>
            <w:tcW w:type="dxa" w:w="1680"/>
            <w:vAlign w:val="center"/>
          </w:tcPr>
          <w:p>
            <w:r/>
            <w:r>
              <w:rPr>
                <w:b w:val="0"/>
                <w:sz w:val="17"/>
              </w:rPr>
              <w:t>Focus visibility</w:t>
            </w:r>
          </w:p>
        </w:tc>
        <w:tc>
          <w:tcPr>
            <w:tcW w:type="dxa" w:w="1680"/>
            <w:vAlign w:val="center"/>
          </w:tcPr>
          <w:p>
            <w:r/>
            <w:r>
              <w:rPr>
                <w:b w:val="0"/>
                <w:sz w:val="17"/>
              </w:rPr>
              <w:t>Error</w:t>
            </w:r>
          </w:p>
        </w:tc>
      </w:tr>
      <w:tr>
        <w:tc>
          <w:tcPr>
            <w:tcW w:type="dxa" w:w="1680"/>
            <w:vAlign w:val="center"/>
          </w:tcPr>
          <w:p>
            <w:r/>
            <w:r>
              <w:rPr>
                <w:b w:val="0"/>
                <w:sz w:val="17"/>
              </w:rPr>
              <w:t>Card</w:t>
            </w:r>
          </w:p>
        </w:tc>
        <w:tc>
          <w:tcPr>
            <w:tcW w:type="dxa" w:w="1680"/>
            <w:vAlign w:val="center"/>
          </w:tcPr>
          <w:p>
            <w:r/>
            <w:r>
              <w:rPr>
                <w:b w:val="0"/>
                <w:sz w:val="17"/>
              </w:rPr>
              <w:t>text-primary</w:t>
            </w:r>
          </w:p>
        </w:tc>
        <w:tc>
          <w:tcPr>
            <w:tcW w:type="dxa" w:w="1680"/>
            <w:vAlign w:val="center"/>
          </w:tcPr>
          <w:p>
            <w:r/>
            <w:r>
              <w:rPr>
                <w:b w:val="0"/>
                <w:sz w:val="17"/>
              </w:rPr>
              <w:t>surface-primary</w:t>
            </w:r>
          </w:p>
        </w:tc>
        <w:tc>
          <w:tcPr>
            <w:tcW w:type="dxa" w:w="1680"/>
            <w:vAlign w:val="center"/>
          </w:tcPr>
          <w:p>
            <w:r/>
            <w:r>
              <w:rPr>
                <w:b w:val="0"/>
                <w:sz w:val="17"/>
              </w:rPr>
              <w:t>default</w:t>
            </w:r>
          </w:p>
        </w:tc>
        <w:tc>
          <w:tcPr>
            <w:tcW w:type="dxa" w:w="1680"/>
            <w:vAlign w:val="center"/>
          </w:tcPr>
          <w:p>
            <w:r/>
            <w:r>
              <w:rPr>
                <w:b w:val="0"/>
                <w:sz w:val="17"/>
              </w:rPr>
              <w:t>Contrast</w:t>
            </w:r>
          </w:p>
        </w:tc>
        <w:tc>
          <w:tcPr>
            <w:tcW w:type="dxa" w:w="1680"/>
            <w:vAlign w:val="center"/>
          </w:tcPr>
          <w:p>
            <w:r/>
            <w:r>
              <w:rPr>
                <w:b w:val="0"/>
                <w:sz w:val="17"/>
              </w:rPr>
              <w:t>Error</w:t>
            </w:r>
          </w:p>
        </w:tc>
      </w:tr>
      <w:tr>
        <w:tc>
          <w:tcPr>
            <w:tcW w:type="dxa" w:w="1680"/>
            <w:vAlign w:val="center"/>
          </w:tcPr>
          <w:p>
            <w:r/>
            <w:r>
              <w:rPr>
                <w:b w:val="0"/>
                <w:sz w:val="17"/>
              </w:rPr>
              <w:t>Table</w:t>
            </w:r>
          </w:p>
        </w:tc>
        <w:tc>
          <w:tcPr>
            <w:tcW w:type="dxa" w:w="1680"/>
            <w:vAlign w:val="center"/>
          </w:tcPr>
          <w:p>
            <w:r/>
            <w:r>
              <w:rPr>
                <w:b w:val="0"/>
                <w:sz w:val="17"/>
              </w:rPr>
              <w:t>text-secondary</w:t>
            </w:r>
          </w:p>
        </w:tc>
        <w:tc>
          <w:tcPr>
            <w:tcW w:type="dxa" w:w="1680"/>
            <w:vAlign w:val="center"/>
          </w:tcPr>
          <w:p>
            <w:r/>
            <w:r>
              <w:rPr>
                <w:b w:val="0"/>
                <w:sz w:val="17"/>
              </w:rPr>
              <w:t>surface-secondary</w:t>
            </w:r>
          </w:p>
        </w:tc>
        <w:tc>
          <w:tcPr>
            <w:tcW w:type="dxa" w:w="1680"/>
            <w:vAlign w:val="center"/>
          </w:tcPr>
          <w:p>
            <w:r/>
            <w:r>
              <w:rPr>
                <w:b w:val="0"/>
                <w:sz w:val="17"/>
              </w:rPr>
              <w:t>default</w:t>
            </w:r>
          </w:p>
        </w:tc>
        <w:tc>
          <w:tcPr>
            <w:tcW w:type="dxa" w:w="1680"/>
            <w:vAlign w:val="center"/>
          </w:tcPr>
          <w:p>
            <w:r/>
            <w:r>
              <w:rPr>
                <w:b w:val="0"/>
                <w:sz w:val="17"/>
              </w:rPr>
              <w:t>Contrast</w:t>
            </w:r>
          </w:p>
        </w:tc>
        <w:tc>
          <w:tcPr>
            <w:tcW w:type="dxa" w:w="1680"/>
            <w:vAlign w:val="center"/>
          </w:tcPr>
          <w:p>
            <w:r/>
            <w:r>
              <w:rPr>
                <w:b w:val="0"/>
                <w:sz w:val="17"/>
              </w:rPr>
              <w:t>Error</w:t>
            </w:r>
          </w:p>
        </w:tc>
      </w:tr>
      <w:tr>
        <w:tc>
          <w:tcPr>
            <w:tcW w:type="dxa" w:w="1680"/>
            <w:vAlign w:val="center"/>
          </w:tcPr>
          <w:p>
            <w:r/>
            <w:r>
              <w:rPr>
                <w:b w:val="0"/>
                <w:sz w:val="17"/>
              </w:rPr>
              <w:t>Alert</w:t>
            </w:r>
          </w:p>
        </w:tc>
        <w:tc>
          <w:tcPr>
            <w:tcW w:type="dxa" w:w="1680"/>
            <w:vAlign w:val="center"/>
          </w:tcPr>
          <w:p>
            <w:r/>
            <w:r>
              <w:rPr>
                <w:b w:val="0"/>
                <w:sz w:val="17"/>
              </w:rPr>
              <w:t>alert-text</w:t>
            </w:r>
          </w:p>
        </w:tc>
        <w:tc>
          <w:tcPr>
            <w:tcW w:type="dxa" w:w="1680"/>
            <w:vAlign w:val="center"/>
          </w:tcPr>
          <w:p>
            <w:r/>
            <w:r>
              <w:rPr>
                <w:b w:val="0"/>
                <w:sz w:val="17"/>
              </w:rPr>
              <w:t>alert-background</w:t>
            </w:r>
          </w:p>
        </w:tc>
        <w:tc>
          <w:tcPr>
            <w:tcW w:type="dxa" w:w="1680"/>
            <w:vAlign w:val="center"/>
          </w:tcPr>
          <w:p>
            <w:r/>
            <w:r>
              <w:rPr>
                <w:b w:val="0"/>
                <w:sz w:val="17"/>
              </w:rPr>
              <w:t>default</w:t>
            </w:r>
          </w:p>
        </w:tc>
        <w:tc>
          <w:tcPr>
            <w:tcW w:type="dxa" w:w="1680"/>
            <w:vAlign w:val="center"/>
          </w:tcPr>
          <w:p>
            <w:r/>
            <w:r>
              <w:rPr>
                <w:b w:val="0"/>
                <w:sz w:val="17"/>
              </w:rPr>
              <w:t>Contrast</w:t>
            </w:r>
          </w:p>
        </w:tc>
        <w:tc>
          <w:tcPr>
            <w:tcW w:type="dxa" w:w="1680"/>
            <w:vAlign w:val="center"/>
          </w:tcPr>
          <w:p>
            <w:r/>
            <w:r>
              <w:rPr>
                <w:b w:val="0"/>
                <w:sz w:val="17"/>
              </w:rPr>
              <w:t>Error</w:t>
            </w:r>
          </w:p>
        </w:tc>
      </w:tr>
      <w:tr>
        <w:tc>
          <w:tcPr>
            <w:tcW w:type="dxa" w:w="1680"/>
            <w:vAlign w:val="center"/>
          </w:tcPr>
          <w:p>
            <w:r/>
            <w:r>
              <w:rPr>
                <w:b w:val="0"/>
                <w:sz w:val="17"/>
              </w:rPr>
              <w:t>Disabled control</w:t>
            </w:r>
          </w:p>
        </w:tc>
        <w:tc>
          <w:tcPr>
            <w:tcW w:type="dxa" w:w="1680"/>
            <w:vAlign w:val="center"/>
          </w:tcPr>
          <w:p>
            <w:r/>
            <w:r>
              <w:rPr>
                <w:b w:val="0"/>
                <w:sz w:val="17"/>
              </w:rPr>
              <w:t>text-disabled</w:t>
            </w:r>
          </w:p>
        </w:tc>
        <w:tc>
          <w:tcPr>
            <w:tcW w:type="dxa" w:w="1680"/>
            <w:vAlign w:val="center"/>
          </w:tcPr>
          <w:p>
            <w:r/>
            <w:r>
              <w:rPr>
                <w:b w:val="0"/>
                <w:sz w:val="17"/>
              </w:rPr>
              <w:t>surface-primary</w:t>
            </w:r>
          </w:p>
        </w:tc>
        <w:tc>
          <w:tcPr>
            <w:tcW w:type="dxa" w:w="1680"/>
            <w:vAlign w:val="center"/>
          </w:tcPr>
          <w:p>
            <w:r/>
            <w:r>
              <w:rPr>
                <w:b w:val="0"/>
                <w:sz w:val="17"/>
              </w:rPr>
              <w:t>disabled</w:t>
            </w:r>
          </w:p>
        </w:tc>
        <w:tc>
          <w:tcPr>
            <w:tcW w:type="dxa" w:w="1680"/>
            <w:vAlign w:val="center"/>
          </w:tcPr>
          <w:p>
            <w:r/>
            <w:r>
              <w:rPr>
                <w:b w:val="0"/>
                <w:sz w:val="17"/>
              </w:rPr>
              <w:t>Intentional disabled styling</w:t>
            </w:r>
          </w:p>
        </w:tc>
        <w:tc>
          <w:tcPr>
            <w:tcW w:type="dxa" w:w="1680"/>
            <w:vAlign w:val="center"/>
          </w:tcPr>
          <w:p>
            <w:r/>
            <w:r>
              <w:rPr>
                <w:b w:val="0"/>
                <w:sz w:val="17"/>
              </w:rPr>
              <w:t>Review</w:t>
            </w:r>
          </w:p>
        </w:tc>
      </w:tr>
    </w:tbl>
    <w:p>
      <w:pPr>
        <w:pStyle w:val="Heading1"/>
      </w:pPr>
      <w:r>
        <w:t>13. Component State Validation</w:t>
      </w:r>
    </w:p>
    <w:p>
      <w:pPr>
        <w:pStyle w:val="ListBullet"/>
        <w:spacing w:after="40"/>
      </w:pPr>
      <w:r>
        <w:t>Default: foreground/background must satisfy the role's contrast requirement.</w:t>
      </w:r>
    </w:p>
    <w:p>
      <w:pPr>
        <w:pStyle w:val="ListBullet"/>
        <w:spacing w:after="40"/>
      </w:pPr>
      <w:r>
        <w:t>Hover: state should be visibly distinguishable from default and remain accessible.</w:t>
      </w:r>
    </w:p>
    <w:p>
      <w:pPr>
        <w:pStyle w:val="ListBullet"/>
        <w:spacing w:after="40"/>
      </w:pPr>
      <w:r>
        <w:t>Active/pressed: state should remain distinguishable without relying only on color.</w:t>
      </w:r>
    </w:p>
    <w:p>
      <w:pPr>
        <w:pStyle w:val="ListBullet"/>
        <w:spacing w:after="40"/>
      </w:pPr>
      <w:r>
        <w:t>Focus-visible: focus indicator must be clearly perceivable and not disappear against adjacent surfaces.</w:t>
      </w:r>
    </w:p>
    <w:p>
      <w:pPr>
        <w:pStyle w:val="ListBullet"/>
        <w:spacing w:after="40"/>
      </w:pPr>
      <w:r>
        <w:t>Selected: selected/unselected states should remain distinguishable and should not rely on color alone where the component semantics require another indicator.</w:t>
      </w:r>
    </w:p>
    <w:p>
      <w:pPr>
        <w:pStyle w:val="ListBullet"/>
        <w:spacing w:after="40"/>
      </w:pPr>
      <w:r>
        <w:t>Disabled: use the disabled state intentionally; do not accidentally create an unreadable normal state.</w:t>
      </w:r>
    </w:p>
    <w:p>
      <w:pPr>
        <w:pStyle w:val="ListBullet"/>
        <w:spacing w:after="40"/>
      </w:pPr>
      <w:r>
        <w:t>Error/success/warning: do not rely on hue alone; pair color with icon, label, border, or other semantic indicator as appropriate.</w:t>
      </w:r>
    </w:p>
    <w:p>
      <w:pPr>
        <w:pStyle w:val="Heading1"/>
      </w:pPr>
      <w:r>
        <w:t>14. Light and Dark Theme Validation</w:t>
      </w:r>
    </w:p>
    <w:p>
      <w:r>
        <w:t>If the platform supports light and dark themes, run the complete validation pipeline independently for each theme. Do not assume that a palette valid on light backgrounds will remain valid in dark mode.</w:t>
      </w:r>
    </w:p>
    <w:tbl>
      <w:tblPr>
        <w:tblW w:type="auto" w:w="0"/>
        <w:jc w:val="center"/>
        <w:tblLook w:firstColumn="1" w:firstRow="1" w:lastColumn="0" w:lastRow="0" w:noHBand="0" w:noVBand="1" w:val="04A0"/>
      </w:tblPr>
      <w:tblGrid>
        <w:gridCol w:w="10080"/>
      </w:tblGrid>
      <w:tr>
        <w:tc>
          <w:tcPr>
            <w:tcW w:type="dxa" w:w="10080"/>
            <w:shd w:fill="F3F4F6"/>
          </w:tcPr>
          <w:p>
            <w:pPr>
              <w:spacing w:after="0"/>
            </w:pPr>
            <w:r>
              <w:rPr>
                <w:rFonts w:ascii="Consolas" w:hAnsi="Consolas"/>
                <w:sz w:val="16"/>
              </w:rPr>
              <w:t>Theme Input</w:t>
              <w:br/>
            </w:r>
            <w:r>
              <w:rPr>
                <w:rFonts w:ascii="Consolas" w:hAnsi="Consolas"/>
                <w:sz w:val="16"/>
              </w:rPr>
              <w:t xml:space="preserve">   |</w:t>
              <w:br/>
            </w:r>
            <w:r>
              <w:rPr>
                <w:rFonts w:ascii="Consolas" w:hAnsi="Consolas"/>
                <w:sz w:val="16"/>
              </w:rPr>
              <w:t xml:space="preserve">   +--&gt; Light semantic token mapping --&gt; Validate --&gt; Result A</w:t>
              <w:br/>
            </w:r>
            <w:r>
              <w:rPr>
                <w:rFonts w:ascii="Consolas" w:hAnsi="Consolas"/>
                <w:sz w:val="16"/>
              </w:rPr>
              <w:t xml:space="preserve">   |</w:t>
              <w:br/>
            </w:r>
            <w:r>
              <w:rPr>
                <w:rFonts w:ascii="Consolas" w:hAnsi="Consolas"/>
                <w:sz w:val="16"/>
              </w:rPr>
              <w:t xml:space="preserve">   +--&gt; Dark semantic token mapping  --&gt; Validate --&gt; Result B</w:t>
              <w:br/>
            </w:r>
            <w:r>
              <w:rPr>
                <w:rFonts w:ascii="Consolas" w:hAnsi="Consolas"/>
                <w:sz w:val="16"/>
              </w:rPr>
              <w:t xml:space="preserve">   |</w:t>
              <w:br/>
            </w:r>
            <w:r>
              <w:rPr>
                <w:rFonts w:ascii="Consolas" w:hAnsi="Consolas"/>
                <w:sz w:val="16"/>
              </w:rPr>
              <w:t xml:space="preserve">   +--&gt; Combined theme compatibility checks</w:t>
            </w:r>
          </w:p>
        </w:tc>
      </w:tr>
    </w:tbl>
    <w:p>
      <w:pPr>
        <w:spacing w:after="20"/>
      </w:pPr>
    </w:p>
    <w:p>
      <w:pPr>
        <w:pStyle w:val="Heading1"/>
      </w:pPr>
      <w:r>
        <w:t>15. Configuration-Driven Rules</w:t>
      </w:r>
    </w:p>
    <w:p>
      <w:r>
        <w:t>Store the validation rules as versioned configuration. This allows the design system team to modify thresholds, token mappings, and component requirements without changing application code.</w:t>
      </w:r>
    </w:p>
    <w:tbl>
      <w:tblPr>
        <w:tblW w:type="auto" w:w="0"/>
        <w:jc w:val="center"/>
        <w:tblLook w:firstColumn="1" w:firstRow="1" w:lastColumn="0" w:lastRow="0" w:noHBand="0" w:noVBand="1" w:val="04A0"/>
      </w:tblPr>
      <w:tblGrid>
        <w:gridCol w:w="10080"/>
      </w:tblGrid>
      <w:tr>
        <w:tc>
          <w:tcPr>
            <w:tcW w:type="dxa" w:w="10080"/>
            <w:shd w:fill="F3F4F6"/>
          </w:tcPr>
          <w:p>
            <w:pPr>
              <w:spacing w:after="0"/>
            </w:pPr>
            <w:r>
              <w:rPr>
                <w:rFonts w:ascii="Consolas" w:hAnsi="Consolas"/>
                <w:sz w:val="16"/>
              </w:rPr>
              <w:t>{</w:t>
              <w:br/>
            </w:r>
            <w:r>
              <w:rPr>
                <w:rFonts w:ascii="Consolas" w:hAnsi="Consolas"/>
                <w:sz w:val="16"/>
              </w:rPr>
              <w:t xml:space="preserve">  "version": "1.0",</w:t>
              <w:br/>
            </w:r>
            <w:r>
              <w:rPr>
                <w:rFonts w:ascii="Consolas" w:hAnsi="Consolas"/>
                <w:sz w:val="16"/>
              </w:rPr>
              <w:t xml:space="preserve">  "standard": "WCAG-2.2-AA",</w:t>
              <w:br/>
            </w:r>
            <w:r>
              <w:rPr>
                <w:rFonts w:ascii="Consolas" w:hAnsi="Consolas"/>
                <w:sz w:val="16"/>
              </w:rPr>
              <w:t xml:space="preserve">  "contrast": {</w:t>
              <w:br/>
            </w:r>
            <w:r>
              <w:rPr>
                <w:rFonts w:ascii="Consolas" w:hAnsi="Consolas"/>
                <w:sz w:val="16"/>
              </w:rPr>
              <w:t xml:space="preserve">    "normalText": 4.5,</w:t>
              <w:br/>
            </w:r>
            <w:r>
              <w:rPr>
                <w:rFonts w:ascii="Consolas" w:hAnsi="Consolas"/>
                <w:sz w:val="16"/>
              </w:rPr>
              <w:t xml:space="preserve">    "largeText": 3.0,</w:t>
              <w:br/>
            </w:r>
            <w:r>
              <w:rPr>
                <w:rFonts w:ascii="Consolas" w:hAnsi="Consolas"/>
                <w:sz w:val="16"/>
              </w:rPr>
              <w:t xml:space="preserve">    "aaaNormalText": 7.0</w:t>
              <w:br/>
            </w:r>
            <w:r>
              <w:rPr>
                <w:rFonts w:ascii="Consolas" w:hAnsi="Consolas"/>
                <w:sz w:val="16"/>
              </w:rPr>
              <w:t xml:space="preserve">  },</w:t>
              <w:br/>
            </w:r>
            <w:r>
              <w:rPr>
                <w:rFonts w:ascii="Consolas" w:hAnsi="Consolas"/>
                <w:sz w:val="16"/>
              </w:rPr>
              <w:t xml:space="preserve">  "colors": {</w:t>
              <w:br/>
            </w:r>
            <w:r>
              <w:rPr>
                <w:rFonts w:ascii="Consolas" w:hAnsi="Consolas"/>
                <w:sz w:val="16"/>
              </w:rPr>
              <w:t xml:space="preserve">    "exactDuplicates": "error",</w:t>
              <w:br/>
            </w:r>
            <w:r>
              <w:rPr>
                <w:rFonts w:ascii="Consolas" w:hAnsi="Consolas"/>
                <w:sz w:val="16"/>
              </w:rPr>
              <w:t xml:space="preserve">    "similarityPolicy": "role-aware"</w:t>
              <w:br/>
            </w:r>
            <w:r>
              <w:rPr>
                <w:rFonts w:ascii="Consolas" w:hAnsi="Consolas"/>
                <w:sz w:val="16"/>
              </w:rPr>
              <w:t xml:space="preserve">  },</w:t>
              <w:br/>
            </w:r>
            <w:r>
              <w:rPr>
                <w:rFonts w:ascii="Consolas" w:hAnsi="Consolas"/>
                <w:sz w:val="16"/>
              </w:rPr>
              <w:t xml:space="preserve">  "components": {</w:t>
              <w:br/>
            </w:r>
            <w:r>
              <w:rPr>
                <w:rFonts w:ascii="Consolas" w:hAnsi="Consolas"/>
                <w:sz w:val="16"/>
              </w:rPr>
              <w:t xml:space="preserve">    "primaryButton": {</w:t>
              <w:br/>
            </w:r>
            <w:r>
              <w:rPr>
                <w:rFonts w:ascii="Consolas" w:hAnsi="Consolas"/>
                <w:sz w:val="16"/>
              </w:rPr>
              <w:t xml:space="preserve">      "background": "primary-600",</w:t>
              <w:br/>
            </w:r>
            <w:r>
              <w:rPr>
                <w:rFonts w:ascii="Consolas" w:hAnsi="Consolas"/>
                <w:sz w:val="16"/>
              </w:rPr>
              <w:t xml:space="preserve">      "text": "neutral-50",</w:t>
              <w:br/>
            </w:r>
            <w:r>
              <w:rPr>
                <w:rFonts w:ascii="Consolas" w:hAnsi="Consolas"/>
                <w:sz w:val="16"/>
              </w:rPr>
              <w:t xml:space="preserve">      "minContrast": 4.5,</w:t>
              <w:br/>
            </w:r>
            <w:r>
              <w:rPr>
                <w:rFonts w:ascii="Consolas" w:hAnsi="Consolas"/>
                <w:sz w:val="16"/>
              </w:rPr>
              <w:t xml:space="preserve">      "validateHover": true,</w:t>
              <w:br/>
            </w:r>
            <w:r>
              <w:rPr>
                <w:rFonts w:ascii="Consolas" w:hAnsi="Consolas"/>
                <w:sz w:val="16"/>
              </w:rPr>
              <w:t xml:space="preserve">      "validateFocus": true</w:t>
              <w:br/>
            </w:r>
            <w:r>
              <w:rPr>
                <w:rFonts w:ascii="Consolas" w:hAnsi="Consolas"/>
                <w:sz w:val="16"/>
              </w:rPr>
              <w:t xml:space="preserve">    }</w:t>
              <w:br/>
            </w:r>
            <w:r>
              <w:rPr>
                <w:rFonts w:ascii="Consolas" w:hAnsi="Consolas"/>
                <w:sz w:val="16"/>
              </w:rPr>
              <w:t xml:space="preserve">  }</w:t>
              <w:br/>
            </w:r>
            <w:r>
              <w:rPr>
                <w:rFonts w:ascii="Consolas" w:hAnsi="Consolas"/>
                <w:sz w:val="16"/>
              </w:rPr>
              <w:t>}</w:t>
            </w:r>
          </w:p>
        </w:tc>
      </w:tr>
    </w:tbl>
    <w:p>
      <w:pPr>
        <w:spacing w:after="20"/>
      </w:pPr>
    </w:p>
    <w:p>
      <w:pPr>
        <w:pStyle w:val="Heading1"/>
      </w:pPr>
      <w:r>
        <w:t>16. API Design</w:t>
      </w:r>
    </w:p>
    <w:p>
      <w:r>
        <w:t>Recommended endpoint:</w:t>
      </w:r>
    </w:p>
    <w:tbl>
      <w:tblPr>
        <w:tblW w:type="auto" w:w="0"/>
        <w:jc w:val="center"/>
        <w:tblLook w:firstColumn="1" w:firstRow="1" w:lastColumn="0" w:lastRow="0" w:noHBand="0" w:noVBand="1" w:val="04A0"/>
      </w:tblPr>
      <w:tblGrid>
        <w:gridCol w:w="10080"/>
      </w:tblGrid>
      <w:tr>
        <w:tc>
          <w:tcPr>
            <w:tcW w:type="dxa" w:w="10080"/>
            <w:shd w:fill="F3F4F6"/>
          </w:tcPr>
          <w:p>
            <w:pPr>
              <w:spacing w:after="0"/>
            </w:pPr>
            <w:r>
              <w:rPr>
                <w:rFonts w:ascii="Consolas" w:hAnsi="Consolas"/>
                <w:sz w:val="16"/>
              </w:rPr>
              <w:t>POST /api/theme/validate</w:t>
              <w:br/>
            </w:r>
            <w:r>
              <w:rPr>
                <w:rFonts w:ascii="Consolas" w:hAnsi="Consolas"/>
                <w:sz w:val="16"/>
              </w:rPr>
              <w:t>POST /api/theme/generate</w:t>
              <w:br/>
            </w:r>
            <w:r>
              <w:rPr>
                <w:rFonts w:ascii="Consolas" w:hAnsi="Consolas"/>
                <w:sz w:val="16"/>
              </w:rPr>
              <w:t>POST /api/theme/save</w:t>
            </w:r>
          </w:p>
        </w:tc>
      </w:tr>
    </w:tbl>
    <w:p>
      <w:pPr>
        <w:spacing w:after="20"/>
      </w:pPr>
    </w:p>
    <w:p>
      <w:r>
        <w:t>Validation request:</w:t>
      </w:r>
    </w:p>
    <w:tbl>
      <w:tblPr>
        <w:tblW w:type="auto" w:w="0"/>
        <w:jc w:val="center"/>
        <w:tblLook w:firstColumn="1" w:firstRow="1" w:lastColumn="0" w:lastRow="0" w:noHBand="0" w:noVBand="1" w:val="04A0"/>
      </w:tblPr>
      <w:tblGrid>
        <w:gridCol w:w="10080"/>
      </w:tblGrid>
      <w:tr>
        <w:tc>
          <w:tcPr>
            <w:tcW w:type="dxa" w:w="10080"/>
            <w:shd w:fill="F3F4F6"/>
          </w:tcPr>
          <w:p>
            <w:pPr>
              <w:spacing w:after="0"/>
            </w:pPr>
            <w:r>
              <w:rPr>
                <w:rFonts w:ascii="Consolas" w:hAnsi="Consolas"/>
                <w:sz w:val="16"/>
              </w:rPr>
              <w:t>{</w:t>
              <w:br/>
            </w:r>
            <w:r>
              <w:rPr>
                <w:rFonts w:ascii="Consolas" w:hAnsi="Consolas"/>
                <w:sz w:val="16"/>
              </w:rPr>
              <w:t xml:space="preserve">  "primary": "#2563EB",</w:t>
              <w:br/>
            </w:r>
            <w:r>
              <w:rPr>
                <w:rFonts w:ascii="Consolas" w:hAnsi="Consolas"/>
                <w:sz w:val="16"/>
              </w:rPr>
              <w:t xml:space="preserve">  "secondary": "#F59E0B",</w:t>
              <w:br/>
            </w:r>
            <w:r>
              <w:rPr>
                <w:rFonts w:ascii="Consolas" w:hAnsi="Consolas"/>
                <w:sz w:val="16"/>
              </w:rPr>
              <w:t xml:space="preserve">  "neutral": "#F3F4F6",</w:t>
              <w:br/>
            </w:r>
            <w:r>
              <w:rPr>
                <w:rFonts w:ascii="Consolas" w:hAnsi="Consolas"/>
                <w:sz w:val="16"/>
              </w:rPr>
              <w:t xml:space="preserve">  "mode": "light",</w:t>
              <w:br/>
            </w:r>
            <w:r>
              <w:rPr>
                <w:rFonts w:ascii="Consolas" w:hAnsi="Consolas"/>
                <w:sz w:val="16"/>
              </w:rPr>
              <w:t xml:space="preserve">  "ruleVersion": "1.0"</w:t>
              <w:br/>
            </w:r>
            <w:r>
              <w:rPr>
                <w:rFonts w:ascii="Consolas" w:hAnsi="Consolas"/>
                <w:sz w:val="16"/>
              </w:rPr>
              <w:t>}</w:t>
            </w:r>
          </w:p>
        </w:tc>
      </w:tr>
    </w:tbl>
    <w:p>
      <w:pPr>
        <w:spacing w:after="20"/>
      </w:pPr>
    </w:p>
    <w:p>
      <w:r>
        <w:t>Validation response:</w:t>
      </w:r>
    </w:p>
    <w:tbl>
      <w:tblPr>
        <w:tblW w:type="auto" w:w="0"/>
        <w:jc w:val="center"/>
        <w:tblLook w:firstColumn="1" w:firstRow="1" w:lastColumn="0" w:lastRow="0" w:noHBand="0" w:noVBand="1" w:val="04A0"/>
      </w:tblPr>
      <w:tblGrid>
        <w:gridCol w:w="10080"/>
      </w:tblGrid>
      <w:tr>
        <w:tc>
          <w:tcPr>
            <w:tcW w:type="dxa" w:w="10080"/>
            <w:shd w:fill="F3F4F6"/>
          </w:tcPr>
          <w:p>
            <w:pPr>
              <w:spacing w:after="0"/>
            </w:pPr>
            <w:r>
              <w:rPr>
                <w:rFonts w:ascii="Consolas" w:hAnsi="Consolas"/>
                <w:sz w:val="16"/>
              </w:rPr>
              <w:t>{</w:t>
              <w:br/>
            </w:r>
            <w:r>
              <w:rPr>
                <w:rFonts w:ascii="Consolas" w:hAnsi="Consolas"/>
                <w:sz w:val="16"/>
              </w:rPr>
              <w:t xml:space="preserve">  "valid": false,</w:t>
              <w:br/>
            </w:r>
            <w:r>
              <w:rPr>
                <w:rFonts w:ascii="Consolas" w:hAnsi="Consolas"/>
                <w:sz w:val="16"/>
              </w:rPr>
              <w:t xml:space="preserve">  "score": 92,</w:t>
              <w:br/>
            </w:r>
            <w:r>
              <w:rPr>
                <w:rFonts w:ascii="Consolas" w:hAnsi="Consolas"/>
                <w:sz w:val="16"/>
              </w:rPr>
              <w:t xml:space="preserve">  "ruleVersion": "1.0",</w:t>
              <w:br/>
            </w:r>
            <w:r>
              <w:rPr>
                <w:rFonts w:ascii="Consolas" w:hAnsi="Consolas"/>
                <w:sz w:val="16"/>
              </w:rPr>
              <w:t xml:space="preserve">  "errors": [</w:t>
              <w:br/>
            </w:r>
            <w:r>
              <w:rPr>
                <w:rFonts w:ascii="Consolas" w:hAnsi="Consolas"/>
                <w:sz w:val="16"/>
              </w:rPr>
              <w:t xml:space="preserve">    {</w:t>
              <w:br/>
            </w:r>
            <w:r>
              <w:rPr>
                <w:rFonts w:ascii="Consolas" w:hAnsi="Consolas"/>
                <w:sz w:val="16"/>
              </w:rPr>
              <w:t xml:space="preserve">      "code": "CONTRAST_INSUFFICIENT",</w:t>
              <w:br/>
            </w:r>
            <w:r>
              <w:rPr>
                <w:rFonts w:ascii="Consolas" w:hAnsi="Consolas"/>
                <w:sz w:val="16"/>
              </w:rPr>
              <w:t xml:space="preserve">      "token": "button-secondary-text",</w:t>
              <w:br/>
            </w:r>
            <w:r>
              <w:rPr>
                <w:rFonts w:ascii="Consolas" w:hAnsi="Consolas"/>
                <w:sz w:val="16"/>
              </w:rPr>
              <w:t xml:space="preserve">      "foreground": "#FFFFFF",</w:t>
              <w:br/>
            </w:r>
            <w:r>
              <w:rPr>
                <w:rFonts w:ascii="Consolas" w:hAnsi="Consolas"/>
                <w:sz w:val="16"/>
              </w:rPr>
              <w:t xml:space="preserve">      "background": "#F59E0B",</w:t>
              <w:br/>
            </w:r>
            <w:r>
              <w:rPr>
                <w:rFonts w:ascii="Consolas" w:hAnsi="Consolas"/>
                <w:sz w:val="16"/>
              </w:rPr>
              <w:t xml:space="preserve">      "ratio": 2.1,</w:t>
              <w:br/>
            </w:r>
            <w:r>
              <w:rPr>
                <w:rFonts w:ascii="Consolas" w:hAnsi="Consolas"/>
                <w:sz w:val="16"/>
              </w:rPr>
              <w:t xml:space="preserve">      "required": 4.5</w:t>
              <w:br/>
            </w:r>
            <w:r>
              <w:rPr>
                <w:rFonts w:ascii="Consolas" w:hAnsi="Consolas"/>
                <w:sz w:val="16"/>
              </w:rPr>
              <w:t xml:space="preserve">    }</w:t>
              <w:br/>
            </w:r>
            <w:r>
              <w:rPr>
                <w:rFonts w:ascii="Consolas" w:hAnsi="Consolas"/>
                <w:sz w:val="16"/>
              </w:rPr>
              <w:t xml:space="preserve">  ],</w:t>
              <w:br/>
            </w:r>
            <w:r>
              <w:rPr>
                <w:rFonts w:ascii="Consolas" w:hAnsi="Consolas"/>
                <w:sz w:val="16"/>
              </w:rPr>
              <w:t xml:space="preserve">  "warnings": [</w:t>
              <w:br/>
            </w:r>
            <w:r>
              <w:rPr>
                <w:rFonts w:ascii="Consolas" w:hAnsi="Consolas"/>
                <w:sz w:val="16"/>
              </w:rPr>
              <w:t xml:space="preserve">    {</w:t>
              <w:br/>
            </w:r>
            <w:r>
              <w:rPr>
                <w:rFonts w:ascii="Consolas" w:hAnsi="Consolas"/>
                <w:sz w:val="16"/>
              </w:rPr>
              <w:t xml:space="preserve">      "code": "COLOR_SIMILARITY",</w:t>
              <w:br/>
            </w:r>
            <w:r>
              <w:rPr>
                <w:rFonts w:ascii="Consolas" w:hAnsi="Consolas"/>
                <w:sz w:val="16"/>
              </w:rPr>
              <w:t xml:space="preserve">      "tokens": ["primary-500", "secondary-500"],</w:t>
              <w:br/>
            </w:r>
            <w:r>
              <w:rPr>
                <w:rFonts w:ascii="Consolas" w:hAnsi="Consolas"/>
                <w:sz w:val="16"/>
              </w:rPr>
              <w:t xml:space="preserve">      "message": "Colors may be visually too similar for their assigned roles."</w:t>
              <w:br/>
            </w:r>
            <w:r>
              <w:rPr>
                <w:rFonts w:ascii="Consolas" w:hAnsi="Consolas"/>
                <w:sz w:val="16"/>
              </w:rPr>
              <w:t xml:space="preserve">    }</w:t>
              <w:br/>
            </w:r>
            <w:r>
              <w:rPr>
                <w:rFonts w:ascii="Consolas" w:hAnsi="Consolas"/>
                <w:sz w:val="16"/>
              </w:rPr>
              <w:t xml:space="preserve">  ],</w:t>
              <w:br/>
            </w:r>
            <w:r>
              <w:rPr>
                <w:rFonts w:ascii="Consolas" w:hAnsi="Consolas"/>
                <w:sz w:val="16"/>
              </w:rPr>
              <w:t xml:space="preserve">  "passed": 126</w:t>
              <w:br/>
            </w:r>
            <w:r>
              <w:rPr>
                <w:rFonts w:ascii="Consolas" w:hAnsi="Consolas"/>
                <w:sz w:val="16"/>
              </w:rPr>
              <w:t>}</w:t>
            </w:r>
          </w:p>
        </w:tc>
      </w:tr>
    </w:tbl>
    <w:p>
      <w:pPr>
        <w:spacing w:after="20"/>
      </w:pPr>
    </w:p>
    <w:p>
      <w:pPr>
        <w:pStyle w:val="Heading1"/>
      </w:pPr>
      <w:r>
        <w:t>17. Frontend Implementation Flow</w:t>
      </w:r>
    </w:p>
    <w:tbl>
      <w:tblPr>
        <w:tblW w:type="auto" w:w="0"/>
        <w:jc w:val="center"/>
        <w:tblLook w:firstColumn="1" w:firstRow="1" w:lastColumn="0" w:lastRow="0" w:noHBand="0" w:noVBand="1" w:val="04A0"/>
      </w:tblPr>
      <w:tblGrid>
        <w:gridCol w:w="10080"/>
      </w:tblGrid>
      <w:tr>
        <w:tc>
          <w:tcPr>
            <w:tcW w:type="dxa" w:w="10080"/>
            <w:shd w:fill="F3F4F6"/>
          </w:tcPr>
          <w:p>
            <w:pPr>
              <w:spacing w:after="0"/>
            </w:pPr>
            <w:r>
              <w:rPr>
                <w:rFonts w:ascii="Consolas" w:hAnsi="Consolas"/>
                <w:sz w:val="16"/>
              </w:rPr>
              <w:t>onColorChange()</w:t>
              <w:br/>
            </w:r>
            <w:r>
              <w:rPr>
                <w:rFonts w:ascii="Consolas" w:hAnsi="Consolas"/>
                <w:sz w:val="16"/>
              </w:rPr>
              <w:t xml:space="preserve">    -&gt; normalizeColors()</w:t>
              <w:br/>
            </w:r>
            <w:r>
              <w:rPr>
                <w:rFonts w:ascii="Consolas" w:hAnsi="Consolas"/>
                <w:sz w:val="16"/>
              </w:rPr>
              <w:t xml:space="preserve">    -&gt; validateInputs()</w:t>
              <w:br/>
            </w:r>
            <w:r>
              <w:rPr>
                <w:rFonts w:ascii="Consolas" w:hAnsi="Consolas"/>
                <w:sz w:val="16"/>
              </w:rPr>
              <w:t xml:space="preserve">    -&gt; generatePalettes()</w:t>
              <w:br/>
            </w:r>
            <w:r>
              <w:rPr>
                <w:rFonts w:ascii="Consolas" w:hAnsi="Consolas"/>
                <w:sz w:val="16"/>
              </w:rPr>
              <w:t xml:space="preserve">    -&gt; generatePrimitiveTokens()</w:t>
              <w:br/>
            </w:r>
            <w:r>
              <w:rPr>
                <w:rFonts w:ascii="Consolas" w:hAnsi="Consolas"/>
                <w:sz w:val="16"/>
              </w:rPr>
              <w:t xml:space="preserve">    -&gt; resolveSemanticTokens()</w:t>
              <w:br/>
            </w:r>
            <w:r>
              <w:rPr>
                <w:rFonts w:ascii="Consolas" w:hAnsi="Consolas"/>
                <w:sz w:val="16"/>
              </w:rPr>
              <w:t xml:space="preserve">    -&gt; validateTheme()</w:t>
              <w:br/>
            </w:r>
            <w:r>
              <w:rPr>
                <w:rFonts w:ascii="Consolas" w:hAnsi="Consolas"/>
                <w:sz w:val="16"/>
              </w:rPr>
              <w:t xml:space="preserve">    -&gt; calculateThemeScore()</w:t>
              <w:br/>
            </w:r>
            <w:r>
              <w:rPr>
                <w:rFonts w:ascii="Consolas" w:hAnsi="Consolas"/>
                <w:sz w:val="16"/>
              </w:rPr>
              <w:t xml:space="preserve">    -&gt; updatePreview()</w:t>
              <w:br/>
            </w:r>
            <w:r>
              <w:rPr>
                <w:rFonts w:ascii="Consolas" w:hAnsi="Consolas"/>
                <w:sz w:val="16"/>
              </w:rPr>
              <w:t xml:space="preserve">    -&gt; displayErrorsAndWarnings()</w:t>
            </w:r>
          </w:p>
        </w:tc>
      </w:tr>
    </w:tbl>
    <w:p>
      <w:pPr>
        <w:spacing w:after="20"/>
      </w:pPr>
    </w:p>
    <w:p>
      <w:r>
        <w:t>Recommended UX states:</w:t>
      </w:r>
    </w:p>
    <w:p>
      <w:pPr>
        <w:pStyle w:val="ListBullet"/>
        <w:spacing w:after="40"/>
      </w:pPr>
      <w:r>
        <w:t>Green: valid and ready to save.</w:t>
      </w:r>
    </w:p>
    <w:p>
      <w:pPr>
        <w:pStyle w:val="ListBullet"/>
        <w:spacing w:after="40"/>
      </w:pPr>
      <w:r>
        <w:t>Yellow: warnings exist but saving is permitted, if policy allows.</w:t>
      </w:r>
    </w:p>
    <w:p>
      <w:pPr>
        <w:pStyle w:val="ListBullet"/>
        <w:spacing w:after="40"/>
      </w:pPr>
      <w:r>
        <w:t>Red: blocking errors exist; Save is disabled.</w:t>
      </w:r>
    </w:p>
    <w:p>
      <w:pPr>
        <w:pStyle w:val="ListBullet"/>
        <w:spacing w:after="40"/>
      </w:pPr>
      <w:r>
        <w:t>Show the affected token, component, actual values, measured result, required result, and suggested correction.</w:t>
      </w:r>
    </w:p>
    <w:p>
      <w:pPr>
        <w:pStyle w:val="ListBullet"/>
        <w:spacing w:after="40"/>
      </w:pPr>
      <w:r>
        <w:t>Allow the user to preview the affected component directly from the validation message.</w:t>
      </w:r>
    </w:p>
    <w:p>
      <w:pPr>
        <w:pStyle w:val="Heading1"/>
      </w:pPr>
      <w:r>
        <w:t>18. Java Backend Implementation</w:t>
      </w:r>
    </w:p>
    <w:tbl>
      <w:tblPr>
        <w:tblW w:type="auto" w:w="0"/>
        <w:jc w:val="center"/>
        <w:tblLook w:firstColumn="1" w:firstRow="1" w:lastColumn="0" w:lastRow="0" w:noHBand="0" w:noVBand="1" w:val="04A0"/>
      </w:tblPr>
      <w:tblGrid>
        <w:gridCol w:w="10080"/>
      </w:tblGrid>
      <w:tr>
        <w:tc>
          <w:tcPr>
            <w:tcW w:type="dxa" w:w="10080"/>
            <w:shd w:fill="F3F4F6"/>
          </w:tcPr>
          <w:p>
            <w:pPr>
              <w:spacing w:after="0"/>
            </w:pPr>
            <w:r>
              <w:rPr>
                <w:rFonts w:ascii="Consolas" w:hAnsi="Consolas"/>
                <w:sz w:val="16"/>
              </w:rPr>
              <w:t>ThemeController</w:t>
              <w:br/>
            </w:r>
            <w:r>
              <w:rPr>
                <w:rFonts w:ascii="Consolas" w:hAnsi="Consolas"/>
                <w:sz w:val="16"/>
              </w:rPr>
              <w:t xml:space="preserve">      |</w:t>
              <w:br/>
            </w:r>
            <w:r>
              <w:rPr>
                <w:rFonts w:ascii="Consolas" w:hAnsi="Consolas"/>
                <w:sz w:val="16"/>
              </w:rPr>
              <w:t xml:space="preserve">      v</w:t>
              <w:br/>
            </w:r>
            <w:r>
              <w:rPr>
                <w:rFonts w:ascii="Consolas" w:hAnsi="Consolas"/>
                <w:sz w:val="16"/>
              </w:rPr>
              <w:t>ThemeService</w:t>
              <w:br/>
            </w:r>
            <w:r>
              <w:rPr>
                <w:rFonts w:ascii="Consolas" w:hAnsi="Consolas"/>
                <w:sz w:val="16"/>
              </w:rPr>
              <w:t xml:space="preserve">      |</w:t>
              <w:br/>
            </w:r>
            <w:r>
              <w:rPr>
                <w:rFonts w:ascii="Consolas" w:hAnsi="Consolas"/>
                <w:sz w:val="16"/>
              </w:rPr>
              <w:t xml:space="preserve">      +--&gt; ThemeInputValidator</w:t>
              <w:br/>
            </w:r>
            <w:r>
              <w:rPr>
                <w:rFonts w:ascii="Consolas" w:hAnsi="Consolas"/>
                <w:sz w:val="16"/>
              </w:rPr>
              <w:t xml:space="preserve">      +--&gt; PaletteGenerator</w:t>
              <w:br/>
            </w:r>
            <w:r>
              <w:rPr>
                <w:rFonts w:ascii="Consolas" w:hAnsi="Consolas"/>
                <w:sz w:val="16"/>
              </w:rPr>
              <w:t xml:space="preserve">      +--&gt; SemanticTokenResolver</w:t>
              <w:br/>
            </w:r>
            <w:r>
              <w:rPr>
                <w:rFonts w:ascii="Consolas" w:hAnsi="Consolas"/>
                <w:sz w:val="16"/>
              </w:rPr>
              <w:t xml:space="preserve">      +--&gt; ContrastValidator</w:t>
              <w:br/>
            </w:r>
            <w:r>
              <w:rPr>
                <w:rFonts w:ascii="Consolas" w:hAnsi="Consolas"/>
                <w:sz w:val="16"/>
              </w:rPr>
              <w:t xml:space="preserve">      +--&gt; SimilarityValidator</w:t>
              <w:br/>
            </w:r>
            <w:r>
              <w:rPr>
                <w:rFonts w:ascii="Consolas" w:hAnsi="Consolas"/>
                <w:sz w:val="16"/>
              </w:rPr>
              <w:t xml:space="preserve">      +--&gt; ComponentRuleValidator</w:t>
              <w:br/>
            </w:r>
            <w:r>
              <w:rPr>
                <w:rFonts w:ascii="Consolas" w:hAnsi="Consolas"/>
                <w:sz w:val="16"/>
              </w:rPr>
              <w:t xml:space="preserve">      +--&gt; ThemeScorer</w:t>
              <w:br/>
            </w:r>
            <w:r>
              <w:rPr>
                <w:rFonts w:ascii="Consolas" w:hAnsi="Consolas"/>
                <w:sz w:val="16"/>
              </w:rPr>
              <w:t xml:space="preserve">      |</w:t>
              <w:br/>
            </w:r>
            <w:r>
              <w:rPr>
                <w:rFonts w:ascii="Consolas" w:hAnsi="Consolas"/>
                <w:sz w:val="16"/>
              </w:rPr>
              <w:t xml:space="preserve">      v</w:t>
              <w:br/>
            </w:r>
            <w:r>
              <w:rPr>
                <w:rFonts w:ascii="Consolas" w:hAnsi="Consolas"/>
                <w:sz w:val="16"/>
              </w:rPr>
              <w:t>ValidationResult</w:t>
              <w:br/>
            </w:r>
            <w:r>
              <w:rPr>
                <w:rFonts w:ascii="Consolas" w:hAnsi="Consolas"/>
                <w:sz w:val="16"/>
              </w:rPr>
              <w:t xml:space="preserve">      |</w:t>
              <w:br/>
            </w:r>
            <w:r>
              <w:rPr>
                <w:rFonts w:ascii="Consolas" w:hAnsi="Consolas"/>
                <w:sz w:val="16"/>
              </w:rPr>
              <w:t xml:space="preserve">      +--&gt; Save if valid</w:t>
              <w:br/>
            </w:r>
            <w:r>
              <w:rPr>
                <w:rFonts w:ascii="Consolas" w:hAnsi="Consolas"/>
                <w:sz w:val="16"/>
              </w:rPr>
              <w:t xml:space="preserve">      +--&gt; Reject if invalid</w:t>
            </w:r>
          </w:p>
        </w:tc>
      </w:tr>
    </w:tbl>
    <w:p>
      <w:pPr>
        <w:spacing w:after="20"/>
      </w:pPr>
    </w:p>
    <w:p>
      <w:r>
        <w:t>The backend must be authoritative. Even if the frontend says the theme is valid, the server must re-run validation before persistence.</w:t>
      </w:r>
    </w:p>
    <w:p>
      <w:pPr>
        <w:pStyle w:val="Heading1"/>
      </w:pPr>
      <w:r>
        <w:t>19. Core Validation Pseudocode</w:t>
      </w:r>
    </w:p>
    <w:tbl>
      <w:tblPr>
        <w:tblW w:type="auto" w:w="0"/>
        <w:jc w:val="center"/>
        <w:tblLook w:firstColumn="1" w:firstRow="1" w:lastColumn="0" w:lastRow="0" w:noHBand="0" w:noVBand="1" w:val="04A0"/>
      </w:tblPr>
      <w:tblGrid>
        <w:gridCol w:w="10080"/>
      </w:tblGrid>
      <w:tr>
        <w:tc>
          <w:tcPr>
            <w:tcW w:type="dxa" w:w="10080"/>
            <w:shd w:fill="F3F4F6"/>
          </w:tcPr>
          <w:p>
            <w:pPr>
              <w:spacing w:after="0"/>
            </w:pPr>
            <w:r>
              <w:rPr>
                <w:rFonts w:ascii="Consolas" w:hAnsi="Consolas"/>
                <w:sz w:val="16"/>
              </w:rPr>
              <w:t>function validateTheme(input):</w:t>
              <w:br/>
            </w:r>
            <w:r>
              <w:rPr>
                <w:rFonts w:ascii="Consolas" w:hAnsi="Consolas"/>
                <w:sz w:val="16"/>
              </w:rPr>
              <w:t xml:space="preserve">    colors = normalize(input)</w:t>
              <w:br/>
            </w:r>
            <w:r>
              <w:rPr>
                <w:rFonts w:ascii="Consolas" w:hAnsi="Consolas"/>
                <w:sz w:val="16"/>
              </w:rPr>
              <w:t xml:space="preserve">    errors = []</w:t>
              <w:br/>
            </w:r>
            <w:r>
              <w:rPr>
                <w:rFonts w:ascii="Consolas" w:hAnsi="Consolas"/>
                <w:sz w:val="16"/>
              </w:rPr>
              <w:t xml:space="preserve">    warnings = []</w:t>
              <w:br/>
            </w:r>
            <w:r>
              <w:rPr>
                <w:rFonts w:ascii="Consolas" w:hAnsi="Consolas"/>
                <w:sz w:val="16"/>
              </w:rPr>
              <w:br/>
            </w:r>
            <w:r>
              <w:rPr>
                <w:rFonts w:ascii="Consolas" w:hAnsi="Consolas"/>
                <w:sz w:val="16"/>
              </w:rPr>
              <w:t xml:space="preserve">    errors += validateColorFormat(colors)</w:t>
              <w:br/>
            </w:r>
            <w:r>
              <w:rPr>
                <w:rFonts w:ascii="Consolas" w:hAnsi="Consolas"/>
                <w:sz w:val="16"/>
              </w:rPr>
              <w:t xml:space="preserve">    errors += validateExactDuplicates(colors)</w:t>
              <w:br/>
            </w:r>
            <w:r>
              <w:rPr>
                <w:rFonts w:ascii="Consolas" w:hAnsi="Consolas"/>
                <w:sz w:val="16"/>
              </w:rPr>
              <w:br/>
            </w:r>
            <w:r>
              <w:rPr>
                <w:rFonts w:ascii="Consolas" w:hAnsi="Consolas"/>
                <w:sz w:val="16"/>
              </w:rPr>
              <w:t xml:space="preserve">    similarity = compareBaseColors(colors)</w:t>
              <w:br/>
            </w:r>
            <w:r>
              <w:rPr>
                <w:rFonts w:ascii="Consolas" w:hAnsi="Consolas"/>
                <w:sz w:val="16"/>
              </w:rPr>
              <w:t xml:space="preserve">    warnings += validateSimilarity(similarity)</w:t>
              <w:br/>
            </w:r>
            <w:r>
              <w:rPr>
                <w:rFonts w:ascii="Consolas" w:hAnsi="Consolas"/>
                <w:sz w:val="16"/>
              </w:rPr>
              <w:br/>
            </w:r>
            <w:r>
              <w:rPr>
                <w:rFonts w:ascii="Consolas" w:hAnsi="Consolas"/>
                <w:sz w:val="16"/>
              </w:rPr>
              <w:t xml:space="preserve">    palette = generatePalettes(colors)</w:t>
              <w:br/>
            </w:r>
            <w:r>
              <w:rPr>
                <w:rFonts w:ascii="Consolas" w:hAnsi="Consolas"/>
                <w:sz w:val="16"/>
              </w:rPr>
              <w:br/>
            </w:r>
            <w:r>
              <w:rPr>
                <w:rFonts w:ascii="Consolas" w:hAnsi="Consolas"/>
                <w:sz w:val="16"/>
              </w:rPr>
              <w:t xml:space="preserve">    errors += validatePaletteIntegrity(palette)</w:t>
              <w:br/>
            </w:r>
            <w:r>
              <w:rPr>
                <w:rFonts w:ascii="Consolas" w:hAnsi="Consolas"/>
                <w:sz w:val="16"/>
              </w:rPr>
              <w:br/>
            </w:r>
            <w:r>
              <w:rPr>
                <w:rFonts w:ascii="Consolas" w:hAnsi="Consolas"/>
                <w:sz w:val="16"/>
              </w:rPr>
              <w:t xml:space="preserve">    semanticTokens = resolveSemanticTokens(palette)</w:t>
              <w:br/>
            </w:r>
            <w:r>
              <w:rPr>
                <w:rFonts w:ascii="Consolas" w:hAnsi="Consolas"/>
                <w:sz w:val="16"/>
              </w:rPr>
              <w:br/>
            </w:r>
            <w:r>
              <w:rPr>
                <w:rFonts w:ascii="Consolas" w:hAnsi="Consolas"/>
                <w:sz w:val="16"/>
              </w:rPr>
              <w:t xml:space="preserve">    for rule in validationRules:</w:t>
              <w:br/>
            </w:r>
            <w:r>
              <w:rPr>
                <w:rFonts w:ascii="Consolas" w:hAnsi="Consolas"/>
                <w:sz w:val="16"/>
              </w:rPr>
              <w:t xml:space="preserve">        result = evaluateRule(rule, semanticTokens)</w:t>
              <w:br/>
            </w:r>
            <w:r>
              <w:rPr>
                <w:rFonts w:ascii="Consolas" w:hAnsi="Consolas"/>
                <w:sz w:val="16"/>
              </w:rPr>
              <w:br/>
            </w:r>
            <w:r>
              <w:rPr>
                <w:rFonts w:ascii="Consolas" w:hAnsi="Consolas"/>
                <w:sz w:val="16"/>
              </w:rPr>
              <w:t xml:space="preserve">        if result.isBlocking:</w:t>
              <w:br/>
            </w:r>
            <w:r>
              <w:rPr>
                <w:rFonts w:ascii="Consolas" w:hAnsi="Consolas"/>
                <w:sz w:val="16"/>
              </w:rPr>
              <w:t xml:space="preserve">            errors.add(result)</w:t>
              <w:br/>
            </w:r>
            <w:r>
              <w:rPr>
                <w:rFonts w:ascii="Consolas" w:hAnsi="Consolas"/>
                <w:sz w:val="16"/>
              </w:rPr>
              <w:t xml:space="preserve">        else if result.isWarning:</w:t>
              <w:br/>
            </w:r>
            <w:r>
              <w:rPr>
                <w:rFonts w:ascii="Consolas" w:hAnsi="Consolas"/>
                <w:sz w:val="16"/>
              </w:rPr>
              <w:t xml:space="preserve">            warnings.add(result)</w:t>
              <w:br/>
            </w:r>
            <w:r>
              <w:rPr>
                <w:rFonts w:ascii="Consolas" w:hAnsi="Consolas"/>
                <w:sz w:val="16"/>
              </w:rPr>
              <w:br/>
            </w:r>
            <w:r>
              <w:rPr>
                <w:rFonts w:ascii="Consolas" w:hAnsi="Consolas"/>
                <w:sz w:val="16"/>
              </w:rPr>
              <w:t xml:space="preserve">    score = calculateScore(errors, warnings)</w:t>
              <w:br/>
            </w:r>
            <w:r>
              <w:rPr>
                <w:rFonts w:ascii="Consolas" w:hAnsi="Consolas"/>
                <w:sz w:val="16"/>
              </w:rPr>
              <w:br/>
            </w:r>
            <w:r>
              <w:rPr>
                <w:rFonts w:ascii="Consolas" w:hAnsi="Consolas"/>
                <w:sz w:val="16"/>
              </w:rPr>
              <w:t xml:space="preserve">    return {</w:t>
              <w:br/>
            </w:r>
            <w:r>
              <w:rPr>
                <w:rFonts w:ascii="Consolas" w:hAnsi="Consolas"/>
                <w:sz w:val="16"/>
              </w:rPr>
              <w:t xml:space="preserve">        valid: errors.isEmpty(),</w:t>
              <w:br/>
            </w:r>
            <w:r>
              <w:rPr>
                <w:rFonts w:ascii="Consolas" w:hAnsi="Consolas"/>
                <w:sz w:val="16"/>
              </w:rPr>
              <w:t xml:space="preserve">        score: score,</w:t>
              <w:br/>
            </w:r>
            <w:r>
              <w:rPr>
                <w:rFonts w:ascii="Consolas" w:hAnsi="Consolas"/>
                <w:sz w:val="16"/>
              </w:rPr>
              <w:t xml:space="preserve">        errors: errors,</w:t>
              <w:br/>
            </w:r>
            <w:r>
              <w:rPr>
                <w:rFonts w:ascii="Consolas" w:hAnsi="Consolas"/>
                <w:sz w:val="16"/>
              </w:rPr>
              <w:t xml:space="preserve">        warnings: warnings,</w:t>
              <w:br/>
            </w:r>
            <w:r>
              <w:rPr>
                <w:rFonts w:ascii="Consolas" w:hAnsi="Consolas"/>
                <w:sz w:val="16"/>
              </w:rPr>
              <w:t xml:space="preserve">        tokens: semanticTokens</w:t>
              <w:br/>
            </w:r>
            <w:r>
              <w:rPr>
                <w:rFonts w:ascii="Consolas" w:hAnsi="Consolas"/>
                <w:sz w:val="16"/>
              </w:rPr>
              <w:t xml:space="preserve">    }</w:t>
            </w:r>
          </w:p>
        </w:tc>
      </w:tr>
    </w:tbl>
    <w:p>
      <w:pPr>
        <w:spacing w:after="20"/>
      </w:pPr>
    </w:p>
    <w:p>
      <w:pPr>
        <w:pStyle w:val="Heading1"/>
      </w:pPr>
      <w:r>
        <w:t>20. Theme Health Score</w:t>
      </w:r>
    </w:p>
    <w:p>
      <w:r>
        <w:t>A score is useful for the editor UI, but it must never replace blocking rules. A theme with a score of 98 can still be invalid if a single critical accessibility rule fails.</w:t>
      </w:r>
    </w:p>
    <w:tbl>
      <w:tblPr>
        <w:tblW w:type="auto" w:w="0"/>
        <w:tblLook w:firstColumn="1" w:firstRow="1" w:lastColumn="0" w:lastRow="0" w:noHBand="0" w:noVBand="1" w:val="04A0"/>
      </w:tblPr>
      <w:tblGrid>
        <w:gridCol w:w="2520"/>
        <w:gridCol w:w="2520"/>
        <w:gridCol w:w="2520"/>
        <w:gridCol w:w="2520"/>
      </w:tblGrid>
      <w:tr>
        <w:tc>
          <w:tcPr>
            <w:tcW w:type="dxa" w:w="2520"/>
            <w:vAlign w:val="center"/>
            <w:shd w:fill="D9E2F3"/>
          </w:tcPr>
          <w:p>
            <w:r/>
            <w:r>
              <w:rPr>
                <w:b/>
                <w:sz w:val="17"/>
              </w:rPr>
              <w:t>Category</w:t>
            </w:r>
          </w:p>
        </w:tc>
        <w:tc>
          <w:tcPr>
            <w:tcW w:type="dxa" w:w="2520"/>
            <w:vAlign w:val="center"/>
            <w:shd w:fill="D9E2F3"/>
          </w:tcPr>
          <w:p>
            <w:r/>
            <w:r>
              <w:rPr>
                <w:b/>
                <w:sz w:val="17"/>
              </w:rPr>
              <w:t>Example weight</w:t>
            </w:r>
          </w:p>
        </w:tc>
        <w:tc>
          <w:tcPr>
            <w:tcW w:type="dxa" w:w="2520"/>
            <w:vAlign w:val="center"/>
            <w:shd w:fill="D9E2F3"/>
          </w:tcPr>
          <w:p>
            <w:r/>
            <w:r>
              <w:rPr>
                <w:b/>
                <w:sz w:val="17"/>
              </w:rPr>
              <w:t>Purpose</w:t>
            </w:r>
          </w:p>
        </w:tc>
        <w:tc>
          <w:tcPr>
            <w:tcW w:type="dxa" w:w="2520"/>
            <w:vAlign w:val="center"/>
            <w:shd w:fill="D9E2F3"/>
          </w:tcPr>
          <w:p>
            <w:r/>
            <w:r>
              <w:rPr>
                <w:b/>
                <w:sz w:val="17"/>
              </w:rPr>
              <w:t>Blocking?</w:t>
            </w:r>
          </w:p>
        </w:tc>
      </w:tr>
      <w:tr>
        <w:tc>
          <w:tcPr>
            <w:tcW w:type="dxa" w:w="2520"/>
            <w:vAlign w:val="center"/>
          </w:tcPr>
          <w:p>
            <w:r/>
            <w:r>
              <w:rPr>
                <w:b w:val="0"/>
                <w:sz w:val="17"/>
              </w:rPr>
              <w:t>Accessibility</w:t>
            </w:r>
          </w:p>
        </w:tc>
        <w:tc>
          <w:tcPr>
            <w:tcW w:type="dxa" w:w="2520"/>
            <w:vAlign w:val="center"/>
          </w:tcPr>
          <w:p>
            <w:r/>
            <w:r>
              <w:rPr>
                <w:b w:val="0"/>
                <w:sz w:val="17"/>
              </w:rPr>
              <w:t>40%</w:t>
            </w:r>
          </w:p>
        </w:tc>
        <w:tc>
          <w:tcPr>
            <w:tcW w:type="dxa" w:w="2520"/>
            <w:vAlign w:val="center"/>
          </w:tcPr>
          <w:p>
            <w:r/>
            <w:r>
              <w:rPr>
                <w:b w:val="0"/>
                <w:sz w:val="17"/>
              </w:rPr>
              <w:t>Contrast/focus/state usability</w:t>
            </w:r>
          </w:p>
        </w:tc>
        <w:tc>
          <w:tcPr>
            <w:tcW w:type="dxa" w:w="2520"/>
            <w:vAlign w:val="center"/>
          </w:tcPr>
          <w:p>
            <w:r/>
            <w:r>
              <w:rPr>
                <w:b w:val="0"/>
                <w:sz w:val="17"/>
              </w:rPr>
              <w:t>Yes for critical failures</w:t>
            </w:r>
          </w:p>
        </w:tc>
      </w:tr>
      <w:tr>
        <w:tc>
          <w:tcPr>
            <w:tcW w:type="dxa" w:w="2520"/>
            <w:vAlign w:val="center"/>
          </w:tcPr>
          <w:p>
            <w:r/>
            <w:r>
              <w:rPr>
                <w:b w:val="0"/>
                <w:sz w:val="17"/>
              </w:rPr>
              <w:t>Semantic correctness</w:t>
            </w:r>
          </w:p>
        </w:tc>
        <w:tc>
          <w:tcPr>
            <w:tcW w:type="dxa" w:w="2520"/>
            <w:vAlign w:val="center"/>
          </w:tcPr>
          <w:p>
            <w:r/>
            <w:r>
              <w:rPr>
                <w:b w:val="0"/>
                <w:sz w:val="17"/>
              </w:rPr>
              <w:t>25%</w:t>
            </w:r>
          </w:p>
        </w:tc>
        <w:tc>
          <w:tcPr>
            <w:tcW w:type="dxa" w:w="2520"/>
            <w:vAlign w:val="center"/>
          </w:tcPr>
          <w:p>
            <w:r/>
            <w:r>
              <w:rPr>
                <w:b w:val="0"/>
                <w:sz w:val="17"/>
              </w:rPr>
              <w:t>Correct token-role relationships</w:t>
            </w:r>
          </w:p>
        </w:tc>
        <w:tc>
          <w:tcPr>
            <w:tcW w:type="dxa" w:w="2520"/>
            <w:vAlign w:val="center"/>
          </w:tcPr>
          <w:p>
            <w:r/>
            <w:r>
              <w:rPr>
                <w:b w:val="0"/>
                <w:sz w:val="17"/>
              </w:rPr>
              <w:t>Yes for critical failures</w:t>
            </w:r>
          </w:p>
        </w:tc>
      </w:tr>
      <w:tr>
        <w:tc>
          <w:tcPr>
            <w:tcW w:type="dxa" w:w="2520"/>
            <w:vAlign w:val="center"/>
          </w:tcPr>
          <w:p>
            <w:r/>
            <w:r>
              <w:rPr>
                <w:b w:val="0"/>
                <w:sz w:val="17"/>
              </w:rPr>
              <w:t>Color distinction</w:t>
            </w:r>
          </w:p>
        </w:tc>
        <w:tc>
          <w:tcPr>
            <w:tcW w:type="dxa" w:w="2520"/>
            <w:vAlign w:val="center"/>
          </w:tcPr>
          <w:p>
            <w:r/>
            <w:r>
              <w:rPr>
                <w:b w:val="0"/>
                <w:sz w:val="17"/>
              </w:rPr>
              <w:t>15%</w:t>
            </w:r>
          </w:p>
        </w:tc>
        <w:tc>
          <w:tcPr>
            <w:tcW w:type="dxa" w:w="2520"/>
            <w:vAlign w:val="center"/>
          </w:tcPr>
          <w:p>
            <w:r/>
            <w:r>
              <w:rPr>
                <w:b w:val="0"/>
                <w:sz w:val="17"/>
              </w:rPr>
              <w:t>Similarity/role separation</w:t>
            </w:r>
          </w:p>
        </w:tc>
        <w:tc>
          <w:tcPr>
            <w:tcW w:type="dxa" w:w="2520"/>
            <w:vAlign w:val="center"/>
          </w:tcPr>
          <w:p>
            <w:r/>
            <w:r>
              <w:rPr>
                <w:b w:val="0"/>
                <w:sz w:val="17"/>
              </w:rPr>
              <w:t>Role-dependent</w:t>
            </w:r>
          </w:p>
        </w:tc>
      </w:tr>
      <w:tr>
        <w:tc>
          <w:tcPr>
            <w:tcW w:type="dxa" w:w="2520"/>
            <w:vAlign w:val="center"/>
          </w:tcPr>
          <w:p>
            <w:r/>
            <w:r>
              <w:rPr>
                <w:b w:val="0"/>
                <w:sz w:val="17"/>
              </w:rPr>
              <w:t>Palette integrity</w:t>
            </w:r>
          </w:p>
        </w:tc>
        <w:tc>
          <w:tcPr>
            <w:tcW w:type="dxa" w:w="2520"/>
            <w:vAlign w:val="center"/>
          </w:tcPr>
          <w:p>
            <w:r/>
            <w:r>
              <w:rPr>
                <w:b w:val="0"/>
                <w:sz w:val="17"/>
              </w:rPr>
              <w:t>10%</w:t>
            </w:r>
          </w:p>
        </w:tc>
        <w:tc>
          <w:tcPr>
            <w:tcW w:type="dxa" w:w="2520"/>
            <w:vAlign w:val="center"/>
          </w:tcPr>
          <w:p>
            <w:r/>
            <w:r>
              <w:rPr>
                <w:b w:val="0"/>
                <w:sz w:val="17"/>
              </w:rPr>
              <w:t>Generated scale quality</w:t>
            </w:r>
          </w:p>
        </w:tc>
        <w:tc>
          <w:tcPr>
            <w:tcW w:type="dxa" w:w="2520"/>
            <w:vAlign w:val="center"/>
          </w:tcPr>
          <w:p>
            <w:r/>
            <w:r>
              <w:rPr>
                <w:b w:val="0"/>
                <w:sz w:val="17"/>
              </w:rPr>
              <w:t>Sometimes</w:t>
            </w:r>
          </w:p>
        </w:tc>
      </w:tr>
      <w:tr>
        <w:tc>
          <w:tcPr>
            <w:tcW w:type="dxa" w:w="2520"/>
            <w:vAlign w:val="center"/>
          </w:tcPr>
          <w:p>
            <w:r/>
            <w:r>
              <w:rPr>
                <w:b w:val="0"/>
                <w:sz w:val="17"/>
              </w:rPr>
              <w:t>Component coverage</w:t>
            </w:r>
          </w:p>
        </w:tc>
        <w:tc>
          <w:tcPr>
            <w:tcW w:type="dxa" w:w="2520"/>
            <w:vAlign w:val="center"/>
          </w:tcPr>
          <w:p>
            <w:r/>
            <w:r>
              <w:rPr>
                <w:b w:val="0"/>
                <w:sz w:val="17"/>
              </w:rPr>
              <w:t>10%</w:t>
            </w:r>
          </w:p>
        </w:tc>
        <w:tc>
          <w:tcPr>
            <w:tcW w:type="dxa" w:w="2520"/>
            <w:vAlign w:val="center"/>
          </w:tcPr>
          <w:p>
            <w:r/>
            <w:r>
              <w:rPr>
                <w:b w:val="0"/>
                <w:sz w:val="17"/>
              </w:rPr>
              <w:t>Representative UI validation</w:t>
            </w:r>
          </w:p>
        </w:tc>
        <w:tc>
          <w:tcPr>
            <w:tcW w:type="dxa" w:w="2520"/>
            <w:vAlign w:val="center"/>
          </w:tcPr>
          <w:p>
            <w:r/>
            <w:r>
              <w:rPr>
                <w:b w:val="0"/>
                <w:sz w:val="17"/>
              </w:rPr>
              <w:t>Review</w:t>
            </w:r>
          </w:p>
        </w:tc>
      </w:tr>
    </w:tbl>
    <w:p>
      <w:pPr>
        <w:pStyle w:val="Heading1"/>
      </w:pPr>
      <w:r>
        <w:t>21. Automatic Suggestions / Auto-Fix</w:t>
      </w:r>
    </w:p>
    <w:p>
      <w:pPr>
        <w:pStyle w:val="ListBullet"/>
        <w:spacing w:after="40"/>
      </w:pPr>
      <w:r>
        <w:t>If button text fails contrast, search nearby generated lightness values for a token that passes the required threshold.</w:t>
      </w:r>
    </w:p>
    <w:p>
      <w:pPr>
        <w:pStyle w:val="ListBullet"/>
        <w:spacing w:after="40"/>
      </w:pPr>
      <w:r>
        <w:t>If a generated palette contains duplicate tonal steps, regenerate using adjusted lightness/chroma targets.</w:t>
      </w:r>
    </w:p>
    <w:p>
      <w:pPr>
        <w:pStyle w:val="ListBullet"/>
        <w:spacing w:after="40"/>
      </w:pPr>
      <w:r>
        <w:t>If Primary and Secondary are too similar, suggest alternative secondary hues while preserving the selected Primary.</w:t>
      </w:r>
    </w:p>
    <w:p>
      <w:pPr>
        <w:pStyle w:val="ListBullet"/>
        <w:spacing w:after="40"/>
      </w:pPr>
      <w:r>
        <w:t>If Neutral creates weak text contrast, adjust the neutral scale or semantic mapping rather than changing the user's brand color unnecessarily.</w:t>
      </w:r>
    </w:p>
    <w:p>
      <w:pPr>
        <w:pStyle w:val="ListBullet"/>
        <w:spacing w:after="40"/>
      </w:pPr>
      <w:r>
        <w:t>Always show the proposed change before silently replacing a user-selected base color.</w:t>
      </w:r>
    </w:p>
    <w:p>
      <w:pPr>
        <w:pStyle w:val="Heading1"/>
      </w:pPr>
      <w:r>
        <w:t>22. Component Gallery / Preview Validation</w:t>
      </w:r>
    </w:p>
    <w:p>
      <w:r>
        <w:t>Create a dedicated internal Theme Validation Gallery containing representative versions of every important component. Each component should consume semantic tokens only.</w:t>
      </w:r>
    </w:p>
    <w:p>
      <w:pPr>
        <w:pStyle w:val="ListBullet"/>
        <w:spacing w:after="40"/>
      </w:pPr>
      <w:r>
        <w:t>Header/navigation</w:t>
      </w:r>
    </w:p>
    <w:p>
      <w:pPr>
        <w:pStyle w:val="ListBullet"/>
        <w:spacing w:after="40"/>
      </w:pPr>
      <w:r>
        <w:t>Primary and secondary buttons</w:t>
      </w:r>
    </w:p>
    <w:p>
      <w:pPr>
        <w:pStyle w:val="ListBullet"/>
        <w:spacing w:after="40"/>
      </w:pPr>
      <w:r>
        <w:t>Links</w:t>
      </w:r>
    </w:p>
    <w:p>
      <w:pPr>
        <w:pStyle w:val="ListBullet"/>
        <w:spacing w:after="40"/>
      </w:pPr>
      <w:r>
        <w:t>Cards</w:t>
      </w:r>
    </w:p>
    <w:p>
      <w:pPr>
        <w:pStyle w:val="ListBullet"/>
        <w:spacing w:after="40"/>
      </w:pPr>
      <w:r>
        <w:t>Tables</w:t>
      </w:r>
    </w:p>
    <w:p>
      <w:pPr>
        <w:pStyle w:val="ListBullet"/>
        <w:spacing w:after="40"/>
      </w:pPr>
      <w:r>
        <w:t>Forms and validation messages</w:t>
      </w:r>
    </w:p>
    <w:p>
      <w:pPr>
        <w:pStyle w:val="ListBullet"/>
        <w:spacing w:after="40"/>
      </w:pPr>
      <w:r>
        <w:t>Tabs</w:t>
      </w:r>
    </w:p>
    <w:p>
      <w:pPr>
        <w:pStyle w:val="ListBullet"/>
        <w:spacing w:after="40"/>
      </w:pPr>
      <w:r>
        <w:t>Pagination</w:t>
      </w:r>
    </w:p>
    <w:p>
      <w:pPr>
        <w:pStyle w:val="ListBullet"/>
        <w:spacing w:after="40"/>
      </w:pPr>
      <w:r>
        <w:t>Badges</w:t>
      </w:r>
    </w:p>
    <w:p>
      <w:pPr>
        <w:pStyle w:val="ListBullet"/>
        <w:spacing w:after="40"/>
      </w:pPr>
      <w:r>
        <w:t>Alerts</w:t>
      </w:r>
    </w:p>
    <w:p>
      <w:pPr>
        <w:pStyle w:val="ListBullet"/>
        <w:spacing w:after="40"/>
      </w:pPr>
      <w:r>
        <w:t>Modal/dialog</w:t>
      </w:r>
    </w:p>
    <w:p>
      <w:pPr>
        <w:pStyle w:val="ListBullet"/>
        <w:spacing w:after="40"/>
      </w:pPr>
      <w:r>
        <w:t>Dropdown/select</w:t>
      </w:r>
    </w:p>
    <w:p>
      <w:pPr>
        <w:pStyle w:val="ListBullet"/>
        <w:spacing w:after="40"/>
      </w:pPr>
      <w:r>
        <w:t>Calendar/date picker</w:t>
      </w:r>
    </w:p>
    <w:p>
      <w:pPr>
        <w:pStyle w:val="ListBullet"/>
        <w:spacing w:after="40"/>
      </w:pPr>
      <w:r>
        <w:t>Data grids</w:t>
      </w:r>
    </w:p>
    <w:p>
      <w:pPr>
        <w:pStyle w:val="ListBullet"/>
        <w:spacing w:after="40"/>
      </w:pPr>
      <w:r>
        <w:t>Empty states</w:t>
      </w:r>
    </w:p>
    <w:p>
      <w:pPr>
        <w:pStyle w:val="ListBullet"/>
        <w:spacing w:after="40"/>
      </w:pPr>
      <w:r>
        <w:t>Loading states</w:t>
      </w:r>
    </w:p>
    <w:p>
      <w:pPr>
        <w:pStyle w:val="ListBullet"/>
        <w:spacing w:after="40"/>
      </w:pPr>
      <w:r>
        <w:t>Focus/keyboard states</w:t>
      </w:r>
    </w:p>
    <w:p>
      <w:pPr>
        <w:pStyle w:val="ListBullet"/>
        <w:spacing w:after="40"/>
      </w:pPr>
      <w:r>
        <w:t>Dark mode where supported</w:t>
      </w:r>
    </w:p>
    <w:p>
      <w:pPr>
        <w:pStyle w:val="Heading1"/>
      </w:pPr>
      <w:r>
        <w:t>23. QA &amp; Automated Test Strategy</w:t>
      </w:r>
    </w:p>
    <w:tbl>
      <w:tblPr>
        <w:tblW w:type="auto" w:w="0"/>
        <w:tblLook w:firstColumn="1" w:firstRow="1" w:lastColumn="0" w:lastRow="0" w:noHBand="0" w:noVBand="1" w:val="04A0"/>
      </w:tblPr>
      <w:tblGrid>
        <w:gridCol w:w="2520"/>
        <w:gridCol w:w="2520"/>
        <w:gridCol w:w="2520"/>
        <w:gridCol w:w="2520"/>
      </w:tblGrid>
      <w:tr>
        <w:tc>
          <w:tcPr>
            <w:tcW w:type="dxa" w:w="2520"/>
            <w:vAlign w:val="center"/>
            <w:shd w:fill="D9E2F3"/>
          </w:tcPr>
          <w:p>
            <w:r/>
            <w:r>
              <w:rPr>
                <w:b/>
                <w:sz w:val="17"/>
              </w:rPr>
              <w:t>Test layer</w:t>
            </w:r>
          </w:p>
        </w:tc>
        <w:tc>
          <w:tcPr>
            <w:tcW w:type="dxa" w:w="2520"/>
            <w:vAlign w:val="center"/>
            <w:shd w:fill="D9E2F3"/>
          </w:tcPr>
          <w:p>
            <w:r/>
            <w:r>
              <w:rPr>
                <w:b/>
                <w:sz w:val="17"/>
              </w:rPr>
              <w:t>What to test</w:t>
            </w:r>
          </w:p>
        </w:tc>
        <w:tc>
          <w:tcPr>
            <w:tcW w:type="dxa" w:w="2520"/>
            <w:vAlign w:val="center"/>
            <w:shd w:fill="D9E2F3"/>
          </w:tcPr>
          <w:p>
            <w:r/>
            <w:r>
              <w:rPr>
                <w:b/>
                <w:sz w:val="17"/>
              </w:rPr>
              <w:t>Tooling</w:t>
            </w:r>
          </w:p>
        </w:tc>
        <w:tc>
          <w:tcPr>
            <w:tcW w:type="dxa" w:w="2520"/>
            <w:vAlign w:val="center"/>
            <w:shd w:fill="D9E2F3"/>
          </w:tcPr>
          <w:p>
            <w:r/>
            <w:r>
              <w:rPr>
                <w:b/>
                <w:sz w:val="17"/>
              </w:rPr>
              <w:t>Expected result</w:t>
            </w:r>
          </w:p>
        </w:tc>
      </w:tr>
      <w:tr>
        <w:tc>
          <w:tcPr>
            <w:tcW w:type="dxa" w:w="2520"/>
            <w:vAlign w:val="center"/>
          </w:tcPr>
          <w:p>
            <w:r/>
            <w:r>
              <w:rPr>
                <w:b w:val="0"/>
                <w:sz w:val="17"/>
              </w:rPr>
              <w:t>Unit</w:t>
            </w:r>
          </w:p>
        </w:tc>
        <w:tc>
          <w:tcPr>
            <w:tcW w:type="dxa" w:w="2520"/>
            <w:vAlign w:val="center"/>
          </w:tcPr>
          <w:p>
            <w:r/>
            <w:r>
              <w:rPr>
                <w:b w:val="0"/>
                <w:sz w:val="17"/>
              </w:rPr>
              <w:t>Color parsing, contrast, Delta-E, palette generation</w:t>
            </w:r>
          </w:p>
        </w:tc>
        <w:tc>
          <w:tcPr>
            <w:tcW w:type="dxa" w:w="2520"/>
            <w:vAlign w:val="center"/>
          </w:tcPr>
          <w:p>
            <w:r/>
            <w:r>
              <w:rPr>
                <w:b w:val="0"/>
                <w:sz w:val="17"/>
              </w:rPr>
              <w:t>Jest / JUnit</w:t>
            </w:r>
          </w:p>
        </w:tc>
        <w:tc>
          <w:tcPr>
            <w:tcW w:type="dxa" w:w="2520"/>
            <w:vAlign w:val="center"/>
          </w:tcPr>
          <w:p>
            <w:r/>
            <w:r>
              <w:rPr>
                <w:b w:val="0"/>
                <w:sz w:val="17"/>
              </w:rPr>
              <w:t>Deterministic results</w:t>
            </w:r>
          </w:p>
        </w:tc>
      </w:tr>
      <w:tr>
        <w:tc>
          <w:tcPr>
            <w:tcW w:type="dxa" w:w="2520"/>
            <w:vAlign w:val="center"/>
          </w:tcPr>
          <w:p>
            <w:r/>
            <w:r>
              <w:rPr>
                <w:b w:val="0"/>
                <w:sz w:val="17"/>
              </w:rPr>
              <w:t>Rule</w:t>
            </w:r>
          </w:p>
        </w:tc>
        <w:tc>
          <w:tcPr>
            <w:tcW w:type="dxa" w:w="2520"/>
            <w:vAlign w:val="center"/>
          </w:tcPr>
          <w:p>
            <w:r/>
            <w:r>
              <w:rPr>
                <w:b w:val="0"/>
                <w:sz w:val="17"/>
              </w:rPr>
              <w:t>Every semantic rule</w:t>
            </w:r>
          </w:p>
        </w:tc>
        <w:tc>
          <w:tcPr>
            <w:tcW w:type="dxa" w:w="2520"/>
            <w:vAlign w:val="center"/>
          </w:tcPr>
          <w:p>
            <w:r/>
            <w:r>
              <w:rPr>
                <w:b w:val="0"/>
                <w:sz w:val="17"/>
              </w:rPr>
              <w:t>Jest / JUnit</w:t>
            </w:r>
          </w:p>
        </w:tc>
        <w:tc>
          <w:tcPr>
            <w:tcW w:type="dxa" w:w="2520"/>
            <w:vAlign w:val="center"/>
          </w:tcPr>
          <w:p>
            <w:r/>
            <w:r>
              <w:rPr>
                <w:b w:val="0"/>
                <w:sz w:val="17"/>
              </w:rPr>
              <w:t>Pass/fail per rule</w:t>
            </w:r>
          </w:p>
        </w:tc>
      </w:tr>
      <w:tr>
        <w:tc>
          <w:tcPr>
            <w:tcW w:type="dxa" w:w="2520"/>
            <w:vAlign w:val="center"/>
          </w:tcPr>
          <w:p>
            <w:r/>
            <w:r>
              <w:rPr>
                <w:b w:val="0"/>
                <w:sz w:val="17"/>
              </w:rPr>
              <w:t>API</w:t>
            </w:r>
          </w:p>
        </w:tc>
        <w:tc>
          <w:tcPr>
            <w:tcW w:type="dxa" w:w="2520"/>
            <w:vAlign w:val="center"/>
          </w:tcPr>
          <w:p>
            <w:r/>
            <w:r>
              <w:rPr>
                <w:b w:val="0"/>
                <w:sz w:val="17"/>
              </w:rPr>
              <w:t>Theme validate/save</w:t>
            </w:r>
          </w:p>
        </w:tc>
        <w:tc>
          <w:tcPr>
            <w:tcW w:type="dxa" w:w="2520"/>
            <w:vAlign w:val="center"/>
          </w:tcPr>
          <w:p>
            <w:r/>
            <w:r>
              <w:rPr>
                <w:b w:val="0"/>
                <w:sz w:val="17"/>
              </w:rPr>
              <w:t>REST tests</w:t>
            </w:r>
          </w:p>
        </w:tc>
        <w:tc>
          <w:tcPr>
            <w:tcW w:type="dxa" w:w="2520"/>
            <w:vAlign w:val="center"/>
          </w:tcPr>
          <w:p>
            <w:r/>
            <w:r>
              <w:rPr>
                <w:b w:val="0"/>
                <w:sz w:val="17"/>
              </w:rPr>
              <w:t>Server rejects invalid themes</w:t>
            </w:r>
          </w:p>
        </w:tc>
      </w:tr>
      <w:tr>
        <w:tc>
          <w:tcPr>
            <w:tcW w:type="dxa" w:w="2520"/>
            <w:vAlign w:val="center"/>
          </w:tcPr>
          <w:p>
            <w:r/>
            <w:r>
              <w:rPr>
                <w:b w:val="0"/>
                <w:sz w:val="17"/>
              </w:rPr>
              <w:t>Component</w:t>
            </w:r>
          </w:p>
        </w:tc>
        <w:tc>
          <w:tcPr>
            <w:tcW w:type="dxa" w:w="2520"/>
            <w:vAlign w:val="center"/>
          </w:tcPr>
          <w:p>
            <w:r/>
            <w:r>
              <w:rPr>
                <w:b w:val="0"/>
                <w:sz w:val="17"/>
              </w:rPr>
              <w:t>Representative widgets</w:t>
            </w:r>
          </w:p>
        </w:tc>
        <w:tc>
          <w:tcPr>
            <w:tcW w:type="dxa" w:w="2520"/>
            <w:vAlign w:val="center"/>
          </w:tcPr>
          <w:p>
            <w:r/>
            <w:r>
              <w:rPr>
                <w:b w:val="0"/>
                <w:sz w:val="17"/>
              </w:rPr>
              <w:t>React Testing Library</w:t>
            </w:r>
          </w:p>
        </w:tc>
        <w:tc>
          <w:tcPr>
            <w:tcW w:type="dxa" w:w="2520"/>
            <w:vAlign w:val="center"/>
          </w:tcPr>
          <w:p>
            <w:r/>
            <w:r>
              <w:rPr>
                <w:b w:val="0"/>
                <w:sz w:val="17"/>
              </w:rPr>
              <w:t>Correct token usage</w:t>
            </w:r>
          </w:p>
        </w:tc>
      </w:tr>
      <w:tr>
        <w:tc>
          <w:tcPr>
            <w:tcW w:type="dxa" w:w="2520"/>
            <w:vAlign w:val="center"/>
          </w:tcPr>
          <w:p>
            <w:r/>
            <w:r>
              <w:rPr>
                <w:b w:val="0"/>
                <w:sz w:val="17"/>
              </w:rPr>
              <w:t>Visual</w:t>
            </w:r>
          </w:p>
        </w:tc>
        <w:tc>
          <w:tcPr>
            <w:tcW w:type="dxa" w:w="2520"/>
            <w:vAlign w:val="center"/>
          </w:tcPr>
          <w:p>
            <w:r/>
            <w:r>
              <w:rPr>
                <w:b w:val="0"/>
                <w:sz w:val="17"/>
              </w:rPr>
              <w:t>Theme gallery screenshots</w:t>
            </w:r>
          </w:p>
        </w:tc>
        <w:tc>
          <w:tcPr>
            <w:tcW w:type="dxa" w:w="2520"/>
            <w:vAlign w:val="center"/>
          </w:tcPr>
          <w:p>
            <w:r/>
            <w:r>
              <w:rPr>
                <w:b w:val="0"/>
                <w:sz w:val="17"/>
              </w:rPr>
              <w:t>Playwright</w:t>
            </w:r>
          </w:p>
        </w:tc>
        <w:tc>
          <w:tcPr>
            <w:tcW w:type="dxa" w:w="2520"/>
            <w:vAlign w:val="center"/>
          </w:tcPr>
          <w:p>
            <w:r/>
            <w:r>
              <w:rPr>
                <w:b w:val="0"/>
                <w:sz w:val="17"/>
              </w:rPr>
              <w:t>No unintended visual regression</w:t>
            </w:r>
          </w:p>
        </w:tc>
      </w:tr>
      <w:tr>
        <w:tc>
          <w:tcPr>
            <w:tcW w:type="dxa" w:w="2520"/>
            <w:vAlign w:val="center"/>
          </w:tcPr>
          <w:p>
            <w:r/>
            <w:r>
              <w:rPr>
                <w:b w:val="0"/>
                <w:sz w:val="17"/>
              </w:rPr>
              <w:t>Accessibility</w:t>
            </w:r>
          </w:p>
        </w:tc>
        <w:tc>
          <w:tcPr>
            <w:tcW w:type="dxa" w:w="2520"/>
            <w:vAlign w:val="center"/>
          </w:tcPr>
          <w:p>
            <w:r/>
            <w:r>
              <w:rPr>
                <w:b w:val="0"/>
                <w:sz w:val="17"/>
              </w:rPr>
              <w:t>Rendered theme</w:t>
            </w:r>
          </w:p>
        </w:tc>
        <w:tc>
          <w:tcPr>
            <w:tcW w:type="dxa" w:w="2520"/>
            <w:vAlign w:val="center"/>
          </w:tcPr>
          <w:p>
            <w:r/>
            <w:r>
              <w:rPr>
                <w:b w:val="0"/>
                <w:sz w:val="17"/>
              </w:rPr>
              <w:t>axe + manual review</w:t>
            </w:r>
          </w:p>
        </w:tc>
        <w:tc>
          <w:tcPr>
            <w:tcW w:type="dxa" w:w="2520"/>
            <w:vAlign w:val="center"/>
          </w:tcPr>
          <w:p>
            <w:r/>
            <w:r>
              <w:rPr>
                <w:b w:val="0"/>
                <w:sz w:val="17"/>
              </w:rPr>
              <w:t>No critical accessibility failures</w:t>
            </w:r>
          </w:p>
        </w:tc>
      </w:tr>
      <w:tr>
        <w:tc>
          <w:tcPr>
            <w:tcW w:type="dxa" w:w="2520"/>
            <w:vAlign w:val="center"/>
          </w:tcPr>
          <w:p>
            <w:r/>
            <w:r>
              <w:rPr>
                <w:b w:val="0"/>
                <w:sz w:val="17"/>
              </w:rPr>
              <w:t>Cross-browser</w:t>
            </w:r>
          </w:p>
        </w:tc>
        <w:tc>
          <w:tcPr>
            <w:tcW w:type="dxa" w:w="2520"/>
            <w:vAlign w:val="center"/>
          </w:tcPr>
          <w:p>
            <w:r/>
            <w:r>
              <w:rPr>
                <w:b w:val="0"/>
                <w:sz w:val="17"/>
              </w:rPr>
              <w:t>Generated CSS and components</w:t>
            </w:r>
          </w:p>
        </w:tc>
        <w:tc>
          <w:tcPr>
            <w:tcW w:type="dxa" w:w="2520"/>
            <w:vAlign w:val="center"/>
          </w:tcPr>
          <w:p>
            <w:r/>
            <w:r>
              <w:rPr>
                <w:b w:val="0"/>
                <w:sz w:val="17"/>
              </w:rPr>
              <w:t>Browser matrix</w:t>
            </w:r>
          </w:p>
        </w:tc>
        <w:tc>
          <w:tcPr>
            <w:tcW w:type="dxa" w:w="2520"/>
            <w:vAlign w:val="center"/>
          </w:tcPr>
          <w:p>
            <w:r/>
            <w:r>
              <w:rPr>
                <w:b w:val="0"/>
                <w:sz w:val="17"/>
              </w:rPr>
              <w:t>Consistent rendering</w:t>
            </w:r>
          </w:p>
        </w:tc>
      </w:tr>
      <w:tr>
        <w:tc>
          <w:tcPr>
            <w:tcW w:type="dxa" w:w="2520"/>
            <w:vAlign w:val="center"/>
          </w:tcPr>
          <w:p>
            <w:r/>
            <w:r>
              <w:rPr>
                <w:b w:val="0"/>
                <w:sz w:val="17"/>
              </w:rPr>
              <w:t>Regression</w:t>
            </w:r>
          </w:p>
        </w:tc>
        <w:tc>
          <w:tcPr>
            <w:tcW w:type="dxa" w:w="2520"/>
            <w:vAlign w:val="center"/>
          </w:tcPr>
          <w:p>
            <w:r/>
            <w:r>
              <w:rPr>
                <w:b w:val="0"/>
                <w:sz w:val="17"/>
              </w:rPr>
              <w:t>Known production themes</w:t>
            </w:r>
          </w:p>
        </w:tc>
        <w:tc>
          <w:tcPr>
            <w:tcW w:type="dxa" w:w="2520"/>
            <w:vAlign w:val="center"/>
          </w:tcPr>
          <w:p>
            <w:r/>
            <w:r>
              <w:rPr>
                <w:b w:val="0"/>
                <w:sz w:val="17"/>
              </w:rPr>
              <w:t>Automated suite</w:t>
            </w:r>
          </w:p>
        </w:tc>
        <w:tc>
          <w:tcPr>
            <w:tcW w:type="dxa" w:w="2520"/>
            <w:vAlign w:val="center"/>
          </w:tcPr>
          <w:p>
            <w:r/>
            <w:r>
              <w:rPr>
                <w:b w:val="0"/>
                <w:sz w:val="17"/>
              </w:rPr>
              <w:t>Existing themes remain stable</w:t>
            </w:r>
          </w:p>
        </w:tc>
      </w:tr>
    </w:tbl>
    <w:p>
      <w:pPr>
        <w:pStyle w:val="Heading1"/>
      </w:pPr>
      <w:r>
        <w:t>24. Critical Edge Cases</w:t>
      </w:r>
    </w:p>
    <w:p>
      <w:pPr>
        <w:pStyle w:val="ListBullet"/>
        <w:spacing w:after="40"/>
      </w:pPr>
      <w:r>
        <w:t>Primary, Secondary, and Neutral are identical.</w:t>
      </w:r>
    </w:p>
    <w:p>
      <w:pPr>
        <w:pStyle w:val="ListBullet"/>
        <w:spacing w:after="40"/>
      </w:pPr>
      <w:r>
        <w:t>Colors differ only by a very small amount.</w:t>
      </w:r>
    </w:p>
    <w:p>
      <w:pPr>
        <w:pStyle w:val="ListBullet"/>
        <w:spacing w:after="40"/>
      </w:pPr>
      <w:r>
        <w:t>Primary is near white.</w:t>
      </w:r>
    </w:p>
    <w:p>
      <w:pPr>
        <w:pStyle w:val="ListBullet"/>
        <w:spacing w:after="40"/>
      </w:pPr>
      <w:r>
        <w:t>Primary is near black.</w:t>
      </w:r>
    </w:p>
    <w:p>
      <w:pPr>
        <w:pStyle w:val="ListBullet"/>
        <w:spacing w:after="40"/>
      </w:pPr>
      <w:r>
        <w:t>Secondary is a very bright yellow/orange where white text fails.</w:t>
      </w:r>
    </w:p>
    <w:p>
      <w:pPr>
        <w:pStyle w:val="ListBullet"/>
        <w:spacing w:after="40"/>
      </w:pPr>
      <w:r>
        <w:t>Neutral is extremely saturated instead of truly neutral.</w:t>
      </w:r>
    </w:p>
    <w:p>
      <w:pPr>
        <w:pStyle w:val="ListBullet"/>
        <w:spacing w:after="40"/>
      </w:pPr>
      <w:r>
        <w:t>Generated scale contains repeated HEX values.</w:t>
      </w:r>
    </w:p>
    <w:p>
      <w:pPr>
        <w:pStyle w:val="ListBullet"/>
        <w:spacing w:after="40"/>
      </w:pPr>
      <w:r>
        <w:t>Generated colors fall outside sRGB.</w:t>
      </w:r>
    </w:p>
    <w:p>
      <w:pPr>
        <w:pStyle w:val="ListBullet"/>
        <w:spacing w:after="40"/>
      </w:pPr>
      <w:r>
        <w:t>Contrast passes for one state but fails on hover.</w:t>
      </w:r>
    </w:p>
    <w:p>
      <w:pPr>
        <w:pStyle w:val="ListBullet"/>
        <w:spacing w:after="40"/>
      </w:pPr>
      <w:r>
        <w:t>Light theme passes while dark theme fails.</w:t>
      </w:r>
    </w:p>
    <w:p>
      <w:pPr>
        <w:pStyle w:val="ListBullet"/>
        <w:spacing w:after="40"/>
      </w:pPr>
      <w:r>
        <w:t>A user changes one base color after a previously valid theme was saved.</w:t>
      </w:r>
    </w:p>
    <w:p>
      <w:pPr>
        <w:pStyle w:val="ListBullet"/>
        <w:spacing w:after="40"/>
      </w:pPr>
      <w:r>
        <w:t>A new component introduces a semantic token that has no validation rule.</w:t>
      </w:r>
    </w:p>
    <w:p>
      <w:pPr>
        <w:pStyle w:val="ListBullet"/>
        <w:spacing w:after="40"/>
      </w:pPr>
      <w:r>
        <w:t>Rule-version changes alter previously valid themes.</w:t>
      </w:r>
    </w:p>
    <w:p>
      <w:pPr>
        <w:pStyle w:val="ListBullet"/>
        <w:spacing w:after="40"/>
      </w:pPr>
      <w:r>
        <w:t>Browser rendering differs because of unsupported CSS color formats.</w:t>
      </w:r>
    </w:p>
    <w:p>
      <w:pPr>
        <w:pStyle w:val="Heading1"/>
      </w:pPr>
      <w:r>
        <w:t>25. Versioning &amp; Governance</w:t>
      </w:r>
    </w:p>
    <w:p>
      <w:pPr>
        <w:pStyle w:val="ListBullet"/>
        <w:spacing w:after="40"/>
      </w:pPr>
      <w:r>
        <w:t>Version palette-generation recipes.</w:t>
      </w:r>
    </w:p>
    <w:p>
      <w:pPr>
        <w:pStyle w:val="ListBullet"/>
        <w:spacing w:after="40"/>
      </w:pPr>
      <w:r>
        <w:t>Version semantic token maps.</w:t>
      </w:r>
    </w:p>
    <w:p>
      <w:pPr>
        <w:pStyle w:val="ListBullet"/>
        <w:spacing w:after="40"/>
      </w:pPr>
      <w:r>
        <w:t>Version validation rules.</w:t>
      </w:r>
    </w:p>
    <w:p>
      <w:pPr>
        <w:pStyle w:val="ListBullet"/>
        <w:spacing w:after="40"/>
      </w:pPr>
      <w:r>
        <w:t>Store the rule version used when a customer theme is saved.</w:t>
      </w:r>
    </w:p>
    <w:p>
      <w:pPr>
        <w:pStyle w:val="ListBullet"/>
        <w:spacing w:after="40"/>
      </w:pPr>
      <w:r>
        <w:t>Never silently regenerate existing customer themes after a rule change.</w:t>
      </w:r>
    </w:p>
    <w:p>
      <w:pPr>
        <w:pStyle w:val="ListBullet"/>
        <w:spacing w:after="40"/>
      </w:pPr>
      <w:r>
        <w:t>Provide a migration path when the design system intentionally changes.</w:t>
      </w:r>
    </w:p>
    <w:p>
      <w:pPr>
        <w:pStyle w:val="ListBullet"/>
        <w:spacing w:after="40"/>
      </w:pPr>
      <w:r>
        <w:t>Maintain a regression suite of approved themes.</w:t>
      </w:r>
    </w:p>
    <w:p>
      <w:pPr>
        <w:pStyle w:val="Heading1"/>
      </w:pPr>
      <w:r>
        <w:t>26. Recommended Implementation Phases</w:t>
      </w:r>
    </w:p>
    <w:p>
      <w:pPr>
        <w:pStyle w:val="Heading2"/>
      </w:pPr>
      <w:r>
        <w:t>Phase 1 – Foundation</w:t>
      </w:r>
    </w:p>
    <w:p>
      <w:pPr>
        <w:pStyle w:val="ListBullet"/>
        <w:spacing w:after="40"/>
      </w:pPr>
      <w:r>
        <w:t>Define primitive and semantic token taxonomy.</w:t>
      </w:r>
    </w:p>
    <w:p>
      <w:pPr>
        <w:pStyle w:val="ListBullet"/>
        <w:spacing w:after="40"/>
      </w:pPr>
      <w:r>
        <w:t>Define component-to-token mapping.</w:t>
      </w:r>
    </w:p>
    <w:p>
      <w:pPr>
        <w:pStyle w:val="ListBullet"/>
        <w:spacing w:after="40"/>
      </w:pPr>
      <w:r>
        <w:t>Implement color normalization and duplicate checks.</w:t>
      </w:r>
    </w:p>
    <w:p>
      <w:pPr>
        <w:pStyle w:val="ListBullet"/>
        <w:spacing w:after="40"/>
      </w:pPr>
      <w:r>
        <w:t>Implement WCAG contrast calculation.</w:t>
      </w:r>
    </w:p>
    <w:p>
      <w:pPr>
        <w:pStyle w:val="ListBullet"/>
        <w:spacing w:after="40"/>
      </w:pPr>
      <w:r>
        <w:t>Create baseline validation rules.</w:t>
      </w:r>
    </w:p>
    <w:p>
      <w:pPr>
        <w:pStyle w:val="Heading2"/>
      </w:pPr>
      <w:r>
        <w:t>Phase 2 – Palette Engine</w:t>
      </w:r>
    </w:p>
    <w:p>
      <w:pPr>
        <w:pStyle w:val="ListBullet"/>
        <w:spacing w:after="40"/>
      </w:pPr>
      <w:r>
        <w:t>Implement OKLCH/OKLab-based palette generation.</w:t>
      </w:r>
    </w:p>
    <w:p>
      <w:pPr>
        <w:pStyle w:val="ListBullet"/>
        <w:spacing w:after="40"/>
      </w:pPr>
      <w:r>
        <w:t>Implement gamut mapping.</w:t>
      </w:r>
    </w:p>
    <w:p>
      <w:pPr>
        <w:pStyle w:val="ListBullet"/>
        <w:spacing w:after="40"/>
      </w:pPr>
      <w:r>
        <w:t>Add generated-token integrity checks.</w:t>
      </w:r>
    </w:p>
    <w:p>
      <w:pPr>
        <w:pStyle w:val="ListBullet"/>
        <w:spacing w:after="40"/>
      </w:pPr>
      <w:r>
        <w:t>Freeze and version the palette recipe.</w:t>
      </w:r>
    </w:p>
    <w:p>
      <w:pPr>
        <w:pStyle w:val="Heading2"/>
      </w:pPr>
      <w:r>
        <w:t>Phase 3 – Full Validation</w:t>
      </w:r>
    </w:p>
    <w:p>
      <w:pPr>
        <w:pStyle w:val="ListBullet"/>
        <w:spacing w:after="40"/>
      </w:pPr>
      <w:r>
        <w:t>Implement perceptual similarity checks.</w:t>
      </w:r>
    </w:p>
    <w:p>
      <w:pPr>
        <w:pStyle w:val="ListBullet"/>
        <w:spacing w:after="40"/>
      </w:pPr>
      <w:r>
        <w:t>Implement component state validation.</w:t>
      </w:r>
    </w:p>
    <w:p>
      <w:pPr>
        <w:pStyle w:val="ListBullet"/>
        <w:spacing w:after="40"/>
      </w:pPr>
      <w:r>
        <w:t>Implement light/dark validation.</w:t>
      </w:r>
    </w:p>
    <w:p>
      <w:pPr>
        <w:pStyle w:val="ListBullet"/>
        <w:spacing w:after="40"/>
      </w:pPr>
      <w:r>
        <w:t>Add theme health scoring.</w:t>
      </w:r>
    </w:p>
    <w:p>
      <w:pPr>
        <w:pStyle w:val="Heading2"/>
      </w:pPr>
      <w:r>
        <w:t>Phase 4 – UX</w:t>
      </w:r>
    </w:p>
    <w:p>
      <w:pPr>
        <w:pStyle w:val="ListBullet"/>
        <w:spacing w:after="40"/>
      </w:pPr>
      <w:r>
        <w:t>Build real-time validation UI.</w:t>
      </w:r>
    </w:p>
    <w:p>
      <w:pPr>
        <w:pStyle w:val="ListBullet"/>
        <w:spacing w:after="40"/>
      </w:pPr>
      <w:r>
        <w:t>Build component gallery preview.</w:t>
      </w:r>
    </w:p>
    <w:p>
      <w:pPr>
        <w:pStyle w:val="ListBullet"/>
        <w:spacing w:after="40"/>
      </w:pPr>
      <w:r>
        <w:t>Add actionable error messages.</w:t>
      </w:r>
    </w:p>
    <w:p>
      <w:pPr>
        <w:pStyle w:val="ListBullet"/>
        <w:spacing w:after="40"/>
      </w:pPr>
      <w:r>
        <w:t>Add automatic suggestions.</w:t>
      </w:r>
    </w:p>
    <w:p>
      <w:pPr>
        <w:pStyle w:val="Heading2"/>
      </w:pPr>
      <w:r>
        <w:t>Phase 5 – Backend &amp; Security</w:t>
      </w:r>
    </w:p>
    <w:p>
      <w:pPr>
        <w:pStyle w:val="ListBullet"/>
        <w:spacing w:after="40"/>
      </w:pPr>
      <w:r>
        <w:t>Implement Java server-side validation.</w:t>
      </w:r>
    </w:p>
    <w:p>
      <w:pPr>
        <w:pStyle w:val="ListBullet"/>
        <w:spacing w:after="40"/>
      </w:pPr>
      <w:r>
        <w:t>Expose theme validation API.</w:t>
      </w:r>
    </w:p>
    <w:p>
      <w:pPr>
        <w:pStyle w:val="ListBullet"/>
        <w:spacing w:after="40"/>
      </w:pPr>
      <w:r>
        <w:t>Revalidate before persistence.</w:t>
      </w:r>
    </w:p>
    <w:p>
      <w:pPr>
        <w:pStyle w:val="ListBullet"/>
        <w:spacing w:after="40"/>
      </w:pPr>
      <w:r>
        <w:t>Store rule and palette versions.</w:t>
      </w:r>
    </w:p>
    <w:p>
      <w:pPr>
        <w:pStyle w:val="Heading2"/>
      </w:pPr>
      <w:r>
        <w:t>Phase 6 – QA &amp; Rollout</w:t>
      </w:r>
    </w:p>
    <w:p>
      <w:pPr>
        <w:pStyle w:val="ListBullet"/>
        <w:spacing w:after="40"/>
      </w:pPr>
      <w:r>
        <w:t>Create automated unit/rule/API/component tests.</w:t>
      </w:r>
    </w:p>
    <w:p>
      <w:pPr>
        <w:pStyle w:val="ListBullet"/>
        <w:spacing w:after="40"/>
      </w:pPr>
      <w:r>
        <w:t>Create visual regression suite.</w:t>
      </w:r>
    </w:p>
    <w:p>
      <w:pPr>
        <w:pStyle w:val="ListBullet"/>
        <w:spacing w:after="40"/>
      </w:pPr>
      <w:r>
        <w:t>Test representative customer themes.</w:t>
      </w:r>
    </w:p>
    <w:p>
      <w:pPr>
        <w:pStyle w:val="ListBullet"/>
        <w:spacing w:after="40"/>
      </w:pPr>
      <w:r>
        <w:t>Pilot with controlled users.</w:t>
      </w:r>
    </w:p>
    <w:p>
      <w:pPr>
        <w:pStyle w:val="ListBullet"/>
        <w:spacing w:after="40"/>
      </w:pPr>
      <w:r>
        <w:t>Monitor validation false positives and adjust thresholds.</w:t>
      </w:r>
    </w:p>
    <w:p>
      <w:pPr>
        <w:pStyle w:val="Heading1"/>
      </w:pPr>
      <w:r>
        <w:t>27. Definition of Done / Acceptance Criteria</w:t>
      </w:r>
    </w:p>
    <w:p>
      <w:pPr>
        <w:pStyle w:val="ListBullet"/>
        <w:spacing w:after="40"/>
      </w:pPr>
      <w:r>
        <w:t>A malformed color cannot be saved.</w:t>
      </w:r>
    </w:p>
    <w:p>
      <w:pPr>
        <w:pStyle w:val="ListBullet"/>
        <w:spacing w:after="40"/>
      </w:pPr>
      <w:r>
        <w:t>Exact duplicate base colors cannot be saved.</w:t>
      </w:r>
    </w:p>
    <w:p>
      <w:pPr>
        <w:pStyle w:val="ListBullet"/>
        <w:spacing w:after="40"/>
      </w:pPr>
      <w:r>
        <w:t>The system generates deterministic primitive token scales.</w:t>
      </w:r>
    </w:p>
    <w:p>
      <w:pPr>
        <w:pStyle w:val="ListBullet"/>
        <w:spacing w:after="40"/>
      </w:pPr>
      <w:r>
        <w:t>Every semantic token resolves to a valid value.</w:t>
      </w:r>
    </w:p>
    <w:p>
      <w:pPr>
        <w:pStyle w:val="ListBullet"/>
        <w:spacing w:after="40"/>
      </w:pPr>
      <w:r>
        <w:t>All critical text contrast rules pass before save.</w:t>
      </w:r>
    </w:p>
    <w:p>
      <w:pPr>
        <w:pStyle w:val="ListBullet"/>
        <w:spacing w:after="40"/>
      </w:pPr>
      <w:r>
        <w:t>Critical focus/state rules pass before save.</w:t>
      </w:r>
    </w:p>
    <w:p>
      <w:pPr>
        <w:pStyle w:val="ListBullet"/>
        <w:spacing w:after="40"/>
      </w:pPr>
      <w:r>
        <w:t>Similarity checks are role-aware and configurable.</w:t>
      </w:r>
    </w:p>
    <w:p>
      <w:pPr>
        <w:pStyle w:val="ListBullet"/>
        <w:spacing w:after="40"/>
      </w:pPr>
      <w:r>
        <w:t>The same validation policy is enforced on frontend and backend.</w:t>
      </w:r>
    </w:p>
    <w:p>
      <w:pPr>
        <w:pStyle w:val="ListBullet"/>
        <w:spacing w:after="40"/>
      </w:pPr>
      <w:r>
        <w:t>The validation response identifies exact tokens and components that failed.</w:t>
      </w:r>
    </w:p>
    <w:p>
      <w:pPr>
        <w:pStyle w:val="ListBullet"/>
        <w:spacing w:after="40"/>
      </w:pPr>
      <w:r>
        <w:t>A user can preview the theme before saving.</w:t>
      </w:r>
    </w:p>
    <w:p>
      <w:pPr>
        <w:pStyle w:val="ListBullet"/>
        <w:spacing w:after="40"/>
      </w:pPr>
      <w:r>
        <w:t>A saved theme stores its rule version and palette-generation version.</w:t>
      </w:r>
    </w:p>
    <w:p>
      <w:pPr>
        <w:pStyle w:val="ListBullet"/>
        <w:spacing w:after="40"/>
      </w:pPr>
      <w:r>
        <w:t>Existing approved themes remain stable after future engine updates.</w:t>
      </w:r>
    </w:p>
    <w:p>
      <w:pPr>
        <w:pStyle w:val="ListBullet"/>
        <w:spacing w:after="40"/>
      </w:pPr>
      <w:r>
        <w:t>Automated tests cover the validation engine and representative components.</w:t>
      </w:r>
    </w:p>
    <w:p>
      <w:pPr>
        <w:pStyle w:val="Heading1"/>
      </w:pPr>
      <w:r>
        <w:t>28. End-to-End Example</w:t>
      </w:r>
    </w:p>
    <w:p>
      <w:r>
        <w:t>User input:</w:t>
      </w:r>
    </w:p>
    <w:tbl>
      <w:tblPr>
        <w:tblW w:type="auto" w:w="0"/>
        <w:jc w:val="center"/>
        <w:tblLook w:firstColumn="1" w:firstRow="1" w:lastColumn="0" w:lastRow="0" w:noHBand="0" w:noVBand="1" w:val="04A0"/>
      </w:tblPr>
      <w:tblGrid>
        <w:gridCol w:w="10080"/>
      </w:tblGrid>
      <w:tr>
        <w:tc>
          <w:tcPr>
            <w:tcW w:type="dxa" w:w="10080"/>
            <w:shd w:fill="F3F4F6"/>
          </w:tcPr>
          <w:p>
            <w:pPr>
              <w:spacing w:after="0"/>
            </w:pPr>
            <w:r>
              <w:rPr>
                <w:rFonts w:ascii="Consolas" w:hAnsi="Consolas"/>
                <w:sz w:val="16"/>
              </w:rPr>
              <w:t>Primary   = #2563EB</w:t>
              <w:br/>
            </w:r>
            <w:r>
              <w:rPr>
                <w:rFonts w:ascii="Consolas" w:hAnsi="Consolas"/>
                <w:sz w:val="16"/>
              </w:rPr>
              <w:t>Secondary = #F59E0B</w:t>
              <w:br/>
            </w:r>
            <w:r>
              <w:rPr>
                <w:rFonts w:ascii="Consolas" w:hAnsi="Consolas"/>
                <w:sz w:val="16"/>
              </w:rPr>
              <w:t>Neutral   = #F3F4F6</w:t>
            </w:r>
          </w:p>
        </w:tc>
      </w:tr>
    </w:tbl>
    <w:p>
      <w:pPr>
        <w:spacing w:after="20"/>
      </w:pPr>
    </w:p>
    <w:p>
      <w:r>
        <w:t>Engine flow:</w:t>
      </w:r>
    </w:p>
    <w:p>
      <w:pPr>
        <w:pStyle w:val="ListNumber"/>
        <w:spacing w:after="40"/>
      </w:pPr>
      <w:r>
        <w:t>Normalize all three colors.</w:t>
      </w:r>
    </w:p>
    <w:p>
      <w:pPr>
        <w:pStyle w:val="ListNumber"/>
        <w:spacing w:after="40"/>
      </w:pPr>
      <w:r>
        <w:t>Check exact duplicates.</w:t>
      </w:r>
    </w:p>
    <w:p>
      <w:pPr>
        <w:pStyle w:val="ListNumber"/>
        <w:spacing w:after="40"/>
      </w:pPr>
      <w:r>
        <w:t>Calculate role-aware perceptual similarity.</w:t>
      </w:r>
    </w:p>
    <w:p>
      <w:pPr>
        <w:pStyle w:val="ListNumber"/>
        <w:spacing w:after="40"/>
      </w:pPr>
      <w:r>
        <w:t>Generate Primary, Secondary, and Neutral scales.</w:t>
      </w:r>
    </w:p>
    <w:p>
      <w:pPr>
        <w:pStyle w:val="ListNumber"/>
        <w:spacing w:after="40"/>
      </w:pPr>
      <w:r>
        <w:t>Check for gamut and palette-collapse problems.</w:t>
      </w:r>
    </w:p>
    <w:p>
      <w:pPr>
        <w:pStyle w:val="ListNumber"/>
        <w:spacing w:after="40"/>
      </w:pPr>
      <w:r>
        <w:t>Resolve semantic tokens.</w:t>
      </w:r>
    </w:p>
    <w:p>
      <w:pPr>
        <w:pStyle w:val="ListNumber"/>
        <w:spacing w:after="40"/>
      </w:pPr>
      <w:r>
        <w:t>Validate body text, buttons, links, borders, forms, states, and focus.</w:t>
      </w:r>
    </w:p>
    <w:p>
      <w:pPr>
        <w:pStyle w:val="ListNumber"/>
        <w:spacing w:after="40"/>
      </w:pPr>
      <w:r>
        <w:t>Generate warnings for non-blocking visual risks.</w:t>
      </w:r>
    </w:p>
    <w:p>
      <w:pPr>
        <w:pStyle w:val="ListNumber"/>
        <w:spacing w:after="40"/>
      </w:pPr>
      <w:r>
        <w:t>Calculate theme score.</w:t>
      </w:r>
    </w:p>
    <w:p>
      <w:pPr>
        <w:pStyle w:val="ListNumber"/>
        <w:spacing w:after="40"/>
      </w:pPr>
      <w:r>
        <w:t>Render component gallery.</w:t>
      </w:r>
    </w:p>
    <w:p>
      <w:pPr>
        <w:pStyle w:val="ListNumber"/>
        <w:spacing w:after="40"/>
      </w:pPr>
      <w:r>
        <w:t>If no blocking errors remain, enable Save.</w:t>
      </w:r>
    </w:p>
    <w:p>
      <w:pPr>
        <w:pStyle w:val="ListNumber"/>
        <w:spacing w:after="40"/>
      </w:pPr>
      <w:r>
        <w:t>On Save, Java revalidates the request and persists the theme plus rule/palette versions.</w:t>
      </w:r>
    </w:p>
    <w:p>
      <w:pPr>
        <w:pStyle w:val="Heading1"/>
      </w:pPr>
      <w:r>
        <w:t>29. Engineering Deliverables</w:t>
      </w:r>
    </w:p>
    <w:p>
      <w:pPr>
        <w:pStyle w:val="ListBullet"/>
        <w:spacing w:after="40"/>
      </w:pPr>
      <w:r>
        <w:t>Design token taxonomy document.</w:t>
      </w:r>
    </w:p>
    <w:p>
      <w:pPr>
        <w:pStyle w:val="ListBullet"/>
        <w:spacing w:after="40"/>
      </w:pPr>
      <w:r>
        <w:t>Semantic token-to-component mapping.</w:t>
      </w:r>
    </w:p>
    <w:p>
      <w:pPr>
        <w:pStyle w:val="ListBullet"/>
        <w:spacing w:after="40"/>
      </w:pPr>
      <w:r>
        <w:t>Palette generation module.</w:t>
      </w:r>
    </w:p>
    <w:p>
      <w:pPr>
        <w:pStyle w:val="ListBullet"/>
        <w:spacing w:after="40"/>
      </w:pPr>
      <w:r>
        <w:t>Color validation module.</w:t>
      </w:r>
    </w:p>
    <w:p>
      <w:pPr>
        <w:pStyle w:val="ListBullet"/>
        <w:spacing w:after="40"/>
      </w:pPr>
      <w:r>
        <w:t>Contrast/accessibility module.</w:t>
      </w:r>
    </w:p>
    <w:p>
      <w:pPr>
        <w:pStyle w:val="ListBullet"/>
        <w:spacing w:after="40"/>
      </w:pPr>
      <w:r>
        <w:t>Similarity module.</w:t>
      </w:r>
    </w:p>
    <w:p>
      <w:pPr>
        <w:pStyle w:val="ListBullet"/>
        <w:spacing w:after="40"/>
      </w:pPr>
      <w:r>
        <w:t>Configuration-driven validation rule schema.</w:t>
      </w:r>
    </w:p>
    <w:p>
      <w:pPr>
        <w:pStyle w:val="ListBullet"/>
        <w:spacing w:after="40"/>
      </w:pPr>
      <w:r>
        <w:t>React/Next.js validation UI.</w:t>
      </w:r>
    </w:p>
    <w:p>
      <w:pPr>
        <w:pStyle w:val="ListBullet"/>
        <w:spacing w:after="40"/>
      </w:pPr>
      <w:r>
        <w:t>Java Theme Validation Service.</w:t>
      </w:r>
    </w:p>
    <w:p>
      <w:pPr>
        <w:pStyle w:val="ListBullet"/>
        <w:spacing w:after="40"/>
      </w:pPr>
      <w:r>
        <w:t>Theme validation REST API.</w:t>
      </w:r>
    </w:p>
    <w:p>
      <w:pPr>
        <w:pStyle w:val="ListBullet"/>
        <w:spacing w:after="40"/>
      </w:pPr>
      <w:r>
        <w:t>Component validation gallery.</w:t>
      </w:r>
    </w:p>
    <w:p>
      <w:pPr>
        <w:pStyle w:val="ListBullet"/>
        <w:spacing w:after="40"/>
      </w:pPr>
      <w:r>
        <w:t>Automated unit/API/component/visual test suite.</w:t>
      </w:r>
    </w:p>
    <w:p>
      <w:pPr>
        <w:pStyle w:val="ListBullet"/>
        <w:spacing w:after="40"/>
      </w:pPr>
      <w:r>
        <w:t>Theme rule/version migration strategy.</w:t>
      </w:r>
    </w:p>
    <w:p>
      <w:pPr>
        <w:pStyle w:val="Heading1"/>
      </w:pPr>
      <w:r>
        <w:t>30. Technical References</w:t>
      </w:r>
    </w:p>
    <w:p>
      <w:pPr>
        <w:pStyle w:val="ListBullet"/>
      </w:pPr>
      <w:r>
        <w:t>W3C Web Content Accessibility Guidelines (WCAG) 2.2 — https://www.w3.org/TR/wcag/</w:t>
      </w:r>
    </w:p>
    <w:p>
      <w:pPr>
        <w:pStyle w:val="ListBullet"/>
      </w:pPr>
      <w:r>
        <w:t>W3C Understanding WCAG 2.2 – Contrast (Minimum) — https://www.w3.org/WAI/WCAG22/Understanding/contrast-minimum</w:t>
      </w:r>
    </w:p>
    <w:p>
      <w:pPr>
        <w:pStyle w:val="ListBullet"/>
      </w:pPr>
      <w:r>
        <w:t>W3C Technique G18 – Contrast ratio calculation — https://www.w3.org/WAI/WCAG22/Techniques/general/G18</w:t>
      </w:r>
    </w:p>
    <w:p>
      <w:pPr>
        <w:pStyle w:val="ListBullet"/>
      </w:pPr>
      <w:r>
        <w:t>Color.js documentation — https://colorjs.io/</w:t>
      </w:r>
    </w:p>
    <w:p>
      <w:pPr>
        <w:pStyle w:val="ListBullet"/>
      </w:pPr>
      <w:r>
        <w:t>Color.js supported color spaces — https://colorjs.io/docs/spaces.html</w:t>
      </w:r>
    </w:p>
    <w:p>
      <w:pPr>
        <w:pStyle w:val="ListBullet"/>
      </w:pPr>
      <w:r>
        <w:t>Color.js color difference / Delta-E — https://colorjs.io/docs/color-difference</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SportsPlus Design Token &amp; Theme Validation Engine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